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1 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老旧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  <w:t>营运船舶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val="en-US" w:eastAsia="zh-CN"/>
        </w:rPr>
        <w:t>报废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  <w:t>更新补贴标准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一、提前报废老旧营运船舶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标准×船舶类型系数×船龄系数×船舶总吨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-1。船龄系数以办理船舶所有权注销手续时的实际船龄计算，船龄系数见表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。船舶类型和船舶总吨以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报废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二、提前报废老旧营运船舶后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燃油动力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，其新建燃油动力船舶的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补贴标准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×船舶类型系数×船舶总吨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船舶总吨以船舶检验证书核定为准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新建船舶的总吨大于对应的拆解船舶总吨时，单船补贴金额按对应的拆解船舶的总吨计算。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动力形式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-1。船舶类型和船舶总吨以新建船舶检验证书核定为准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船动力形式系数：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液化天然气单一燃料、甲醇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单一燃料、氢燃料动力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氨燃料动力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、纯电池动力（不含铅酸电池动力）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船舶为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1.0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，燃油替代率60%以上的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燃料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燃油替代率50%以上的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和燃油双燃料船舶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为0.5。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-1营运船舶报废更新补贴标准（单位：元/总吨）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29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内河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沿海船舶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报废老旧营运船舶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新建燃油动力营运船舶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新建新能源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清洁能源营运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00</w:t>
            </w:r>
          </w:p>
        </w:tc>
      </w:tr>
    </w:tbl>
    <w:p>
      <w:pPr>
        <w:ind w:firstLine="0"/>
        <w:jc w:val="both"/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注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特定航线江海直达船舶执行内河船舶补贴标准。</w:t>
      </w:r>
    </w:p>
    <w:p>
      <w:pPr>
        <w:ind w:firstLine="0"/>
        <w:jc w:val="both"/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 xml:space="preserve">    2.必须报废老旧营运船舶方可申请新建燃油动力营运船舶补贴。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-2 内河和沿海老旧营运船舶船龄系数表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4"/>
        <w:gridCol w:w="1834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船舶种类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内河船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沿海船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客船类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10＜X≤15年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15＜X≤18年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18＜X≤22年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22＜X≤25年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货船类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20＜X≤23年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23＜X≤27年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25＜X≤30年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27＜X≤30年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</w:tbl>
    <w:p>
      <w:pPr>
        <w:ind w:firstLine="0"/>
        <w:jc w:val="both"/>
        <w:rPr>
          <w:rFonts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8"/>
          <w:highlight w:val="none"/>
        </w:rPr>
        <w:t>注：根据船舶种类和实际船龄对应上表确定船龄系数。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拆解船舶的实际船龄为船舶自建造完工之日起至《船舶所有权注销登记证书》签发之日的年限（据实计算，不取整）。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-3船舶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类型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散货船、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矿砂船、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水泥船、杂货船、其他货船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集装箱船、冷藏船、多用途船、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货滚船、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木材船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客船、客滚船、客货船、客渡船、客货渡船、旅游船、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其他客船、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液化气船、散装化学品船、油船（包括沥青船）、推船、拖船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181C1743"/>
    <w:rsid w:val="181C1743"/>
    <w:rsid w:val="7BF78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2024-08-02T20:44:00Z</dcterms:created>
  <dc:creator>张婧嫄</dc:creator>
  <cp:lastModifiedBy>nan625</cp:lastModifiedBy>
  <dcterms:modified xsi:type="dcterms:W3CDTF">2024-10-17T10:57:37Z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92A2515E23E53E81217D1067EE956D39</vt:lpwstr>
  </property>
</Properties>
</file>