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napToGrid w:val="0"/>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overflowPunct w:val="0"/>
        <w:topLinePunct/>
        <w:snapToGrid w:val="0"/>
        <w:spacing w:line="600" w:lineRule="exact"/>
        <w:jc w:val="center"/>
        <w:rPr>
          <w:rFonts w:hint="default" w:ascii="Times New Roman" w:hAnsi="Times New Roman" w:eastAsia="黑体" w:cs="Times New Roman"/>
          <w:sz w:val="32"/>
          <w:szCs w:val="32"/>
        </w:rPr>
      </w:pPr>
      <w:bookmarkStart w:id="0" w:name="_GoBack"/>
      <w:r>
        <w:rPr>
          <w:rFonts w:hint="default" w:ascii="Times New Roman" w:hAnsi="Times New Roman" w:eastAsia="宋体" w:cs="Times New Roman"/>
          <w:sz w:val="32"/>
          <w:szCs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323850</wp:posOffset>
                </wp:positionV>
                <wp:extent cx="935990" cy="34925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935990" cy="349250"/>
                        </a:xfrm>
                        <a:prstGeom prst="rect">
                          <a:avLst/>
                        </a:prstGeom>
                        <a:noFill/>
                        <a:ln>
                          <a:noFill/>
                        </a:ln>
                        <a:effectLst/>
                      </wps:spPr>
                      <wps:txbx>
                        <w:txbxContent>
                          <w:p>
                            <w:pPr>
                              <w:spacing w:line="400" w:lineRule="exact"/>
                              <w:rPr>
                                <w:rFonts w:hint="eastAsia" w:ascii="黑体" w:hAnsi="黑体" w:eastAsia="黑体" w:cs="黑体"/>
                                <w:sz w:val="22"/>
                              </w:rPr>
                            </w:pPr>
                            <w:r>
                              <w:rPr>
                                <w:rFonts w:hint="eastAsia" w:ascii="黑体" w:hAnsi="黑体" w:eastAsia="黑体" w:cs="黑体"/>
                                <w:sz w:val="22"/>
                              </w:rPr>
                              <w:t>时间节点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27.5pt;width:73.7pt;z-index:251661312;mso-width-relative:page;mso-height-relative:page;" filled="f" stroked="f" coordsize="21600,21600" o:gfxdata="UEsDBAoAAAAAAIdO4kAAAAAAAAAAAAAAAAAEAAAAZHJzL1BLAwQUAAAACACHTuJAEwzVWNUAAAAJ&#10;AQAADwAAAGRycy9kb3ducmV2LnhtbE2PT0/DMAzF70h8h8hI3JhTtFajNN0BxBXE+CNxyxqvrWic&#10;qsnW8u3xTnCyn571/HvVdvGDOtEU+8AGspUGRdwE13Nr4P3t6WYDKibLzg6BycAPRdjWlxeVLV2Y&#10;+ZVOu9QqCeFYWgNdSmOJGJuOvI2rMBKLdwiTt0nk1KKb7CzhfsBbrQv0tmf50NmRHjpqvndHb+Dj&#10;+fD1udYv7aPPxzksGtnfoTHXV5m+B5VoSX/HcMYXdKiFaR+O7KIaRG+kSjKQZzLPfpGvQe1l0YUG&#10;rCv836D+BVBLAwQUAAAACACHTuJAaWMl+QACAADUAwAADgAAAGRycy9lMm9Eb2MueG1srVNLjhMx&#10;EN0jcQfLe9JJJgHSSmc0zGgQ0vCRBg5QcbvTFt0uU3bSPRyAuQErNuw5V85B2Z0JAXaIjeX6+FW9&#10;euXled82YqfJG7SFnIzGUmirsDR2U8gP76+fPJfCB7AlNGh1Ie+0l+erx4+Wncv1FGtsSk2CQazP&#10;O1fIOgSXZ5lXtW7Bj9Bpy8EKqYXAJm2ykqBj9LbJpuPx06xDKh2h0t6z92oIylXCryqtwtuq8jqI&#10;ppDcW0gnpXMdz2y1hHxD4GqjDm3AP3TRgrFc9Ah1BQHElsxfUK1RhB6rMFLYZlhVRunEgdlMxn+w&#10;ua3B6cSFh+PdcUz+/8GqN7t3JExZyLkUFlqWaP/1fv/tx/77FzGP4+mczznr1nFe6F9gzzInqt7d&#10;oProhcXLGuxGXxBhV2soub1JfJmdPB1wfARZd6+x5DqwDZiA+oraODuehmB0lunuKI3ug1DsXJzN&#10;FwuOKA6dzRbTeZIug/zhsSMfXmpsRbwUklj5BA67Gx9iM5A/pMRaFq9N0yT1G/ubgxMHj07rc3gd&#10;qcTuBx6hX/eH0ayxvGNShMNq8VfgS430WYqO16qQ/tMWSEvRvLI8mMVkNot7mIzZ/NmUDTqNrE8j&#10;YBVDFTJIMVwvw7C7W0dmU3OlQQqLFzzMyiSisdWhq4MEvDqJ/2HN426e2inr12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DNVY1QAAAAkBAAAPAAAAAAAAAAEAIAAAACIAAABkcnMvZG93bnJl&#10;di54bWxQSwECFAAUAAAACACHTuJAaWMl+QACAADUAwAADgAAAAAAAAABACAAAAAkAQAAZHJzL2Uy&#10;b0RvYy54bWxQSwUGAAAAAAYABgBZAQAAlgUAAAAA&#10;">
                <v:fill on="f" focussize="0,0"/>
                <v:stroke on="f"/>
                <v:imagedata o:title=""/>
                <o:lock v:ext="edit" aspectratio="f"/>
                <v:textbox>
                  <w:txbxContent>
                    <w:p>
                      <w:pPr>
                        <w:spacing w:line="400" w:lineRule="exact"/>
                        <w:rPr>
                          <w:rFonts w:hint="eastAsia" w:ascii="黑体" w:hAnsi="黑体" w:eastAsia="黑体" w:cs="黑体"/>
                          <w:sz w:val="22"/>
                        </w:rPr>
                      </w:pPr>
                      <w:r>
                        <w:rPr>
                          <w:rFonts w:hint="eastAsia" w:ascii="黑体" w:hAnsi="黑体" w:eastAsia="黑体" w:cs="黑体"/>
                          <w:sz w:val="22"/>
                        </w:rPr>
                        <w:t>时间节点</w:t>
                      </w:r>
                    </w:p>
                  </w:txbxContent>
                </v:textbox>
              </v:shape>
            </w:pict>
          </mc:Fallback>
        </mc:AlternateContent>
      </w:r>
      <w:r>
        <w:rPr>
          <w:rFonts w:hint="default" w:ascii="Times New Roman" w:hAnsi="Times New Roman" w:eastAsia="方正小标宋简体" w:cs="Times New Roman"/>
          <w:sz w:val="36"/>
          <w:szCs w:val="36"/>
        </w:rPr>
        <w:t>四川省塑料制品禁限阶段性目标</w:t>
      </w:r>
    </w:p>
    <w:bookmarkEnd w:id="0"/>
    <w:tbl>
      <w:tblPr>
        <w:tblStyle w:val="2"/>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41"/>
        <w:gridCol w:w="1272"/>
        <w:gridCol w:w="2290"/>
        <w:gridCol w:w="25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0" w:hRule="atLeast"/>
          <w:jc w:val="center"/>
        </w:trPr>
        <w:tc>
          <w:tcPr>
            <w:tcW w:w="2241" w:type="dxa"/>
            <w:vAlign w:val="center"/>
          </w:tcPr>
          <w:p>
            <w:pPr>
              <w:widowControl/>
              <w:jc w:val="left"/>
              <w:textAlignment w:val="center"/>
              <w:rPr>
                <w:rFonts w:hint="eastAsia" w:ascii="黑体" w:hAnsi="黑体" w:eastAsia="黑体" w:cs="黑体"/>
                <w:color w:val="000000"/>
                <w:sz w:val="20"/>
                <w:szCs w:val="20"/>
              </w:rPr>
            </w:pPr>
            <w:r>
              <w:rPr>
                <w:rFonts w:hint="eastAsia" w:ascii="黑体" w:hAnsi="黑体" w:eastAsia="黑体" w:cs="黑体"/>
                <w:sz w:val="32"/>
                <w:szCs w:val="24"/>
              </w:rPr>
              <mc:AlternateContent>
                <mc:Choice Requires="wps">
                  <w:drawing>
                    <wp:anchor distT="0" distB="0" distL="114300" distR="114300" simplePos="0" relativeHeight="251663360" behindDoc="0" locked="0" layoutInCell="1" allowOverlap="1">
                      <wp:simplePos x="0" y="0"/>
                      <wp:positionH relativeFrom="column">
                        <wp:posOffset>19685</wp:posOffset>
                      </wp:positionH>
                      <wp:positionV relativeFrom="paragraph">
                        <wp:posOffset>431800</wp:posOffset>
                      </wp:positionV>
                      <wp:extent cx="633095" cy="401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33095" cy="401955"/>
                              </a:xfrm>
                              <a:prstGeom prst="rect">
                                <a:avLst/>
                              </a:prstGeom>
                              <a:noFill/>
                              <a:ln>
                                <a:noFill/>
                              </a:ln>
                            </wps:spPr>
                            <wps:txbx>
                              <w:txbxContent>
                                <w:p>
                                  <w:pPr>
                                    <w:spacing w:line="240" w:lineRule="exact"/>
                                    <w:rPr>
                                      <w:rFonts w:hint="eastAsia" w:ascii="黑体" w:hAnsi="黑体" w:eastAsia="黑体" w:cs="黑体"/>
                                      <w:sz w:val="22"/>
                                    </w:rPr>
                                  </w:pPr>
                                  <w:r>
                                    <w:rPr>
                                      <w:rFonts w:hint="eastAsia" w:ascii="黑体" w:hAnsi="黑体" w:eastAsia="黑体" w:cs="黑体"/>
                                      <w:sz w:val="22"/>
                                    </w:rPr>
                                    <w:t>产品</w:t>
                                  </w:r>
                                </w:p>
                                <w:p>
                                  <w:pPr>
                                    <w:spacing w:line="240" w:lineRule="exact"/>
                                    <w:rPr>
                                      <w:rFonts w:hint="eastAsia" w:ascii="黑体" w:hAnsi="黑体" w:eastAsia="黑体" w:cs="黑体"/>
                                      <w:sz w:val="22"/>
                                    </w:rPr>
                                  </w:pPr>
                                  <w:r>
                                    <w:rPr>
                                      <w:rFonts w:hint="eastAsia" w:ascii="黑体" w:hAnsi="黑体" w:eastAsia="黑体" w:cs="黑体"/>
                                      <w:sz w:val="22"/>
                                    </w:rPr>
                                    <w:t>种类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5pt;margin-top:34pt;height:31.65pt;width:49.85pt;z-index:251663360;mso-width-relative:page;mso-height-relative:page;" filled="f" stroked="f" coordsize="21600,21600" o:gfxdata="UEsDBAoAAAAAAIdO4kAAAAAAAAAAAAAAAAAEAAAAZHJzL1BLAwQUAAAACACHTuJA8tvF89UAAAAI&#10;AQAADwAAAGRycy9kb3ducmV2LnhtbE2PwU7DMBBE70j8g7VI3Og6DVQlxOkBxBVEC0jc3HibRMTr&#10;KHab8PdsT3Db0Yxm55Wb2ffqRGPsAhvIFhoUcR1cx42B993zzRpUTJad7QOTgR+KsKkuL0pbuDDx&#10;G522qVFSwrGwBtqUhgIx1i15GxdhIBbvEEZvk8ixQTfaScp9j0utV+htx/KhtQM9tlR/b4/ewMfL&#10;4evzVr82T/5umMKskf09GnN9lekHUInm9BeG83yZDpVs2ocju6h6A3kmQQOrtRCdbb0Ukr0ceZYD&#10;ViX+B6h+AVBLAwQUAAAACACHTuJA7Cxf4fwBAADGAwAADgAAAGRycy9lMm9Eb2MueG1srVPNjtMw&#10;EL4j8Q6W7zRpN122UdPVsqtFSMuPtPAAjuM0FonHjN0m5QHgDThx4b7P1edg7HRLgRviYnl+/M03&#10;34yXl0PXsq1Cp8EUfDpJOVNGQqXNuuAf3t8+u+DMeWEq0YJRBd8pxy9XT58se5urGTTQVgoZgRiX&#10;97bgjfc2TxInG9UJNwGrDAVrwE54MnGdVCh6Qu/aZJam50kPWFkEqZwj780Y5KuIX9dK+rd17ZRn&#10;bcGJm48nxrMMZ7JainyNwjZaHmiIf2DRCW2o6BHqRnjBNqj/guq0RHBQ+4mELoG61lLFHqibafpH&#10;N/eNsCr2QuI4e5TJ/T9Y+Wb7DpmuCp5xZkRHI9p/+7r//rD/8YVlQZ7eupyy7i3l+eEFDDTm2Kqz&#10;dyA/OmbguhFmra4QoW+UqIjeNLxMTp6OOC6AlP1rqKiO2HiIQEONXdCO1GCETmPaHUejBs8kOc/P&#10;ztLFnDNJoSydLubzWEHkj48tOv9SQcfCpeBIk4/gYnvnfCAj8seUUMvArW7bOP3W/OagxOCJ5APf&#10;kbkfyuEgRgnVjtpAGJeJlp8uDeBnznpapIK7TxuBirP2lSEpFtMsC5sXjWz+fEYGnkbK04gwkqAK&#10;7jkbr9d+3NaNRb1uqNIovoErkq/WsbWg88jqwJuWJXZ8WOywjad2zPr1/V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LbxfPVAAAACAEAAA8AAAAAAAAAAQAgAAAAIgAAAGRycy9kb3ducmV2Lnht&#10;bFBLAQIUABQAAAAIAIdO4kDsLF/h/AEAAMYDAAAOAAAAAAAAAAEAIAAAACQBAABkcnMvZTJvRG9j&#10;LnhtbFBLBQYAAAAABgAGAFkBAACSBQAAAAA=&#10;">
                      <v:fill on="f" focussize="0,0"/>
                      <v:stroke on="f"/>
                      <v:imagedata o:title=""/>
                      <o:lock v:ext="edit" aspectratio="f"/>
                      <v:textbox>
                        <w:txbxContent>
                          <w:p>
                            <w:pPr>
                              <w:spacing w:line="240" w:lineRule="exact"/>
                              <w:rPr>
                                <w:rFonts w:hint="eastAsia" w:ascii="黑体" w:hAnsi="黑体" w:eastAsia="黑体" w:cs="黑体"/>
                                <w:sz w:val="22"/>
                              </w:rPr>
                            </w:pPr>
                            <w:r>
                              <w:rPr>
                                <w:rFonts w:hint="eastAsia" w:ascii="黑体" w:hAnsi="黑体" w:eastAsia="黑体" w:cs="黑体"/>
                                <w:sz w:val="22"/>
                              </w:rPr>
                              <w:t>产品</w:t>
                            </w:r>
                          </w:p>
                          <w:p>
                            <w:pPr>
                              <w:spacing w:line="240" w:lineRule="exact"/>
                              <w:rPr>
                                <w:rFonts w:hint="eastAsia" w:ascii="黑体" w:hAnsi="黑体" w:eastAsia="黑体" w:cs="黑体"/>
                                <w:sz w:val="22"/>
                              </w:rPr>
                            </w:pPr>
                            <w:r>
                              <w:rPr>
                                <w:rFonts w:hint="eastAsia" w:ascii="黑体" w:hAnsi="黑体" w:eastAsia="黑体" w:cs="黑体"/>
                                <w:sz w:val="22"/>
                              </w:rPr>
                              <w:t>种类</w:t>
                            </w:r>
                          </w:p>
                        </w:txbxContent>
                      </v:textbox>
                    </v:shape>
                  </w:pict>
                </mc:Fallback>
              </mc:AlternateContent>
            </w:r>
            <w:r>
              <w:rPr>
                <w:rFonts w:hint="eastAsia" w:ascii="黑体" w:hAnsi="黑体" w:eastAsia="黑体" w:cs="黑体"/>
                <w:sz w:val="32"/>
                <w:szCs w:val="24"/>
              </w:rPr>
              <mc:AlternateContent>
                <mc:Choice Requires="wps">
                  <w:drawing>
                    <wp:anchor distT="0" distB="0" distL="114300" distR="114300" simplePos="0" relativeHeight="251662336" behindDoc="0" locked="0" layoutInCell="1" allowOverlap="1">
                      <wp:simplePos x="0" y="0"/>
                      <wp:positionH relativeFrom="column">
                        <wp:posOffset>631190</wp:posOffset>
                      </wp:positionH>
                      <wp:positionV relativeFrom="paragraph">
                        <wp:posOffset>373380</wp:posOffset>
                      </wp:positionV>
                      <wp:extent cx="746760" cy="411480"/>
                      <wp:effectExtent l="0" t="0" r="0" b="63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746760" cy="411480"/>
                              </a:xfrm>
                              <a:prstGeom prst="rect">
                                <a:avLst/>
                              </a:prstGeom>
                              <a:noFill/>
                              <a:ln>
                                <a:noFill/>
                              </a:ln>
                              <a:effectLst/>
                            </wps:spPr>
                            <wps:txbx>
                              <w:txbxContent>
                                <w:p>
                                  <w:pPr>
                                    <w:spacing w:line="240" w:lineRule="exact"/>
                                    <w:rPr>
                                      <w:rFonts w:hint="eastAsia" w:ascii="黑体" w:hAnsi="黑体" w:eastAsia="黑体" w:cs="黑体"/>
                                      <w:sz w:val="22"/>
                                    </w:rPr>
                                  </w:pPr>
                                  <w:r>
                                    <w:rPr>
                                      <w:rFonts w:hint="eastAsia" w:ascii="黑体" w:hAnsi="黑体" w:eastAsia="黑体" w:cs="黑体"/>
                                      <w:sz w:val="22"/>
                                    </w:rPr>
                                    <w:t>禁限区域及要求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9.7pt;margin-top:29.4pt;height:32.4pt;width:58.8pt;z-index:251662336;mso-width-relative:page;mso-height-relative:page;" filled="f" stroked="f" coordsize="21600,21600" o:gfxdata="UEsDBAoAAAAAAIdO4kAAAAAAAAAAAAAAAAAEAAAAZHJzL1BLAwQUAAAACACHTuJA1c3y69cAAAAJ&#10;AQAADwAAAGRycy9kb3ducmV2LnhtbE2Py07DMBBF90j9B2sqsaN2QluaEKeLVmxBlIfEzo2nSUQ8&#10;jmK3CX/PsKLL0b26c06xnVwnLjiE1pOGZKFAIFXetlRreH97utuACNGQNZ0n1PCDAbbl7KYwufUj&#10;veLlEGvBIxRyo6GJsc+lDFWDzoSF75E4O/nBmcjnUEs7mJHHXSdTpdbSmZb4Q2N63DVYfR/OTsPH&#10;8+nrc6le6r1b9aOflCSXSa1v54l6BBFxiv9l+MNndCiZ6ejPZIPoNGTZkpsaVhs24DxNHtjtyMX0&#10;fg2yLOS1QfkLUEsDBBQAAAAIAIdO4kDE9nasAAIAANQDAAAOAAAAZHJzL2Uyb0RvYy54bWytU82O&#10;0zAQviPxDpbvNE03tEvUdLXsahHSAistPIDrOI1F4jFjt0l5AHgDTly473P1ORg72VLghrhYnh9/&#10;M9984+VF3zZsp9BpMAVPJ1POlJFQarMp+If3N8/OOXNemFI0YFTB98rxi9XTJ8vO5moGNTSlQkYg&#10;xuWdLXjtvc2TxMlatcJNwCpDwQqwFZ5M3CQlio7Q2yaZTafzpAMsLYJUzpH3egjyVcSvKiX9u6py&#10;yrOm4NSbjyfGcx3OZLUU+QaFrbUc2xD/0EUrtKGiR6hr4QXbov4LqtUSwUHlJxLaBKpKSxU5EJt0&#10;+geb+1pYFbnQcJw9jsn9P1j5dneHTJcFP+PMiJYkOnz7evj+cPjxhZ2F8XTW5ZR1bynP9y+hJ5kj&#10;VWdvQX50zMBVLcxGXSJCVytRUntpeJmcPB1wXABZd2+gpDpi6yEC9RW2YXY0DUboJNP+KI3qPZPk&#10;XGTzxZwikkJZmmbnUbpE5I+PLTr/SkHLwqXgSMpHcLG7dT40I/LHlFDLwI1umqh+Y35zUOLgUXF9&#10;xteBSuh+4OH7dT+OZg3lnkghDKtFX4EuNeBnzjpaq4K7T1uBirPmtaHBvEizLOxhNLLnixkZeBpZ&#10;n0aEkQRVcM/ZcL3yw+5uLepNTZUGKQxc0jArHYmGVoeuRglodSL/cc3Dbp7aMevXZ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XN8uvXAAAACQEAAA8AAAAAAAAAAQAgAAAAIgAAAGRycy9kb3du&#10;cmV2LnhtbFBLAQIUABQAAAAIAIdO4kDE9nasAAIAANQDAAAOAAAAAAAAAAEAIAAAACYBAABkcnMv&#10;ZTJvRG9jLnhtbFBLBQYAAAAABgAGAFkBAACYBQAAAAA=&#10;">
                      <v:fill on="f" focussize="0,0"/>
                      <v:stroke on="f"/>
                      <v:imagedata o:title=""/>
                      <o:lock v:ext="edit" aspectratio="f"/>
                      <v:textbox>
                        <w:txbxContent>
                          <w:p>
                            <w:pPr>
                              <w:spacing w:line="240" w:lineRule="exact"/>
                              <w:rPr>
                                <w:rFonts w:hint="eastAsia" w:ascii="黑体" w:hAnsi="黑体" w:eastAsia="黑体" w:cs="黑体"/>
                                <w:sz w:val="22"/>
                              </w:rPr>
                            </w:pPr>
                            <w:r>
                              <w:rPr>
                                <w:rFonts w:hint="eastAsia" w:ascii="黑体" w:hAnsi="黑体" w:eastAsia="黑体" w:cs="黑体"/>
                                <w:sz w:val="22"/>
                              </w:rPr>
                              <w:t>禁限区域及要求</w:t>
                            </w:r>
                          </w:p>
                        </w:txbxContent>
                      </v:textbox>
                    </v:shape>
                  </w:pict>
                </mc:Fallback>
              </mc:AlternateContent>
            </w:r>
            <w:r>
              <w:rPr>
                <w:rFonts w:hint="eastAsia" w:ascii="黑体" w:hAnsi="黑体" w:eastAsia="黑体" w:cs="黑体"/>
                <w:sz w:val="20"/>
                <w:szCs w:val="24"/>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32385</wp:posOffset>
                      </wp:positionV>
                      <wp:extent cx="805815" cy="774700"/>
                      <wp:effectExtent l="13970" t="8890" r="8890" b="698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805815" cy="7747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5pt;margin-top:2.55pt;height:61pt;width:63.45pt;z-index:251660288;mso-width-relative:page;mso-height-relative:page;" filled="f" stroked="t" coordsize="21600,21600" o:gfxdata="UEsDBAoAAAAAAIdO4kAAAAAAAAAAAAAAAAAEAAAAZHJzL1BLAwQUAAAACACHTuJAMTN+Z9UAAAAH&#10;AQAADwAAAGRycy9kb3ducmV2LnhtbE2PzU7DMBCE75V4B2uRuFStnVRQGuL0AM2NCwXEdRsvSUS8&#10;TmP3B54e59TeZjWjmW/z9dl24kiDbx1rSOYKBHHlTMu1ho/3cvYIwgdkg51j0vBLHtbFzSTHzLgT&#10;v9FxG2oRS9hnqKEJoc+k9FVDFv3c9cTR+3aDxRDPoZZmwFMst51MlXqQFluOCw329NxQ9bM9WA2+&#10;/KR9+TetpuprUTtK9y+vG9T67jZRTyACncMlDCN+RIciMu3cgY0XnYZ0FYMa7hMQo5uu4iO7USwT&#10;kEUur/mLf1BLAwQUAAAACACHTuJAVW22uc4BAABgAwAADgAAAGRycy9lMm9Eb2MueG1srVNLjhMx&#10;EN0jcQfLe9KdFiGhlc4sMho2A0Sa4QAV291tYbss20knl+ACSOxgxZL93IbhGGM7nxlgh+hFqV2f&#10;53qvyvOLnVZkK5yXaBo6HpWUCMOQS9M19MPt1YsZJT6A4aDQiIbuhacXi+fP5oOtRYU9Ki4ciSDG&#10;14NtaB+CrYvCs15o8CO0wsRgi05DiEfXFdzBENG1KqqyfFUM6Lh1yIT30Xt5CNJFxm9bwcL7tvUi&#10;ENXQ2FvI1mW7TrZYzKHuHNhesmMb8A9daJAmXnqGuoQAZOPkX1BaMoce2zBiqAtsW8lE5hDZjMs/&#10;2Nz0YEXmEsXx9iyT/3+w7N125YjkDa0oMaDjiO4///j56euvuy/R3n//Rqok0mB9HXOXZuUSTbYz&#10;N/Ya2UdPDC57MJ3Izd7ubUQYp4rit5J08DZetR7eIo85sAmYFdu1TifIqAXZ5cHsz4MRu0BYdM7K&#10;yWw8oYTF0HT6clrmwRVQn4qt8+GNQE3ST0OVNEk3qGF77UNqBupTSnIbvJJK5dkrQ4aGvp5Uk1zg&#10;UUmeginNu269VI5sIW1P/jKzGHma5nBj+OESZY7EE9eDamvk+5U7CRLHmLs5rlzak6fnXP34MB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TN+Z9UAAAAHAQAADwAAAAAAAAABACAAAAAiAAAAZHJz&#10;L2Rvd25yZXYueG1sUEsBAhQAFAAAAAgAh07iQFVttrnOAQAAYAMAAA4AAAAAAAAAAQAgAAAAJAEA&#10;AGRycy9lMm9Eb2MueG1sUEsFBgAAAAAGAAYAWQEAAGQFAAAAAA==&#10;">
                      <v:fill on="f" focussize="0,0"/>
                      <v:stroke color="#000000" joinstyle="round"/>
                      <v:imagedata o:title=""/>
                      <o:lock v:ext="edit" aspectratio="f"/>
                    </v:line>
                  </w:pict>
                </mc:Fallback>
              </mc:AlternateContent>
            </w:r>
            <w:r>
              <w:rPr>
                <w:rFonts w:hint="eastAsia" w:ascii="黑体" w:hAnsi="黑体" w:eastAsia="黑体" w:cs="黑体"/>
                <w:sz w:val="20"/>
                <w:szCs w:val="24"/>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6350</wp:posOffset>
                      </wp:positionV>
                      <wp:extent cx="1423670" cy="428625"/>
                      <wp:effectExtent l="13335" t="11430" r="10795" b="76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423670" cy="4286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pt;margin-top:0.5pt;height:33.75pt;width:112.1pt;z-index:251659264;mso-width-relative:page;mso-height-relative:page;" filled="f" stroked="t" coordsize="21600,21600" o:gfxdata="UEsDBAoAAAAAAIdO4kAAAAAAAAAAAAAAAAAEAAAAZHJzL1BLAwQUAAAACACHTuJA3//Y3NQAAAAG&#10;AQAADwAAAGRycy9kb3ducmV2LnhtbE2PT0/DMAzF70h8h8hIXCaWLIgxlaY7AL1xYYC4eo1pKxqn&#10;a7I/8OkxJ7j5+Vnv/VyuT2FQB5pSH9nBYm5AETfR99w6eH2pr1agUkb2OEQmB1+UYF2dn5VY+Hjk&#10;ZzpscqskhFOBDrqcx0Lr1HQUMM3jSCzeR5wCZpFTq/2ERwkPg7bGLHXAnqWhw5HuO2o+N/vgINVv&#10;tKu/Z83MvF+3kezu4ekRnbu8WJg7UJlO+e8YfvEFHSph2sY9+6QGB1bAs6zlIXGtvZVh62C5ugFd&#10;lfo/fvUDUEsDBBQAAAAIAIdO4kDr8I1gzAEAAGEDAAAOAAAAZHJzL2Uyb0RvYy54bWytU81uEzEQ&#10;viP1HSzfm022bSirbHpI1V4KRGp5AMf27lrYHst2spuX4AWQuMGJY++8DeUxGDs/ULgh9jDa+fE3&#10;33xjz64Go8lG+qDA1nQyGlMiLQehbFvTdw83p5eUhMisYBqsrOlWBno1P3kx610lS+hAC+kJgthQ&#10;9a6mXYyuKorAO2lYGIGTFpMNeMMiur4thGc9ohtdlOPxtOjBC+eByxAwer1L0nnGbxrJ49umCTIS&#10;XVPkFrP12a6SLeYzVrWeuU7xPQ32DywMUxabHqGuWWRk7dVfUEZxDwGaOOJgCmgaxWWeAaeZjP+Y&#10;5r5jTuZZUJzgjjKF/wfL32yWniiBu6PEMoMrevr4+P3D5x/fPqF9+vqFTJJIvQsV1i7s0qcx+WDv&#10;3R3w94FYWHTMtjKTfdg6RMgnimdHkhMctlr1r0FgDVtHyIoNjTcJErUgQ17M9rgYOUTCMTg5L8+m&#10;L3F/HHPn5eW0vEikClYdTjsf4q0EQ9JPTbWySThWsc1diLvSQ0kKW7hRWufla0v6mr66QMiUCaCV&#10;SMns+Ha10J5sWLo++dv3fVbmYW3From2SOsw7E62FYjt0qd0iuMeM/H9nUsX5Xc/V/16Gf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3//Y3NQAAAAGAQAADwAAAAAAAAABACAAAAAiAAAAZHJzL2Rv&#10;d25yZXYueG1sUEsBAhQAFAAAAAgAh07iQOvwjWDMAQAAYQMAAA4AAAAAAAAAAQAgAAAAIwEAAGRy&#10;cy9lMm9Eb2MueG1sUEsFBgAAAAAGAAYAWQEAAGEFAAAAAA==&#10;">
                      <v:fill on="f" focussize="0,0"/>
                      <v:stroke color="#000000" joinstyle="round"/>
                      <v:imagedata o:title=""/>
                      <o:lock v:ext="edit" aspectratio="f"/>
                    </v:line>
                  </w:pict>
                </mc:Fallback>
              </mc:AlternateContent>
            </w:r>
          </w:p>
        </w:tc>
        <w:tc>
          <w:tcPr>
            <w:tcW w:w="1272" w:type="dxa"/>
            <w:vAlign w:val="center"/>
          </w:tcPr>
          <w:p>
            <w:pPr>
              <w:widowControl/>
              <w:jc w:val="center"/>
              <w:textAlignment w:val="center"/>
              <w:rPr>
                <w:rFonts w:hint="eastAsia" w:ascii="黑体" w:hAnsi="黑体" w:eastAsia="黑体" w:cs="黑体"/>
                <w:color w:val="000000"/>
                <w:sz w:val="26"/>
                <w:szCs w:val="26"/>
              </w:rPr>
            </w:pPr>
            <w:r>
              <w:rPr>
                <w:rFonts w:hint="eastAsia" w:ascii="黑体" w:hAnsi="黑体" w:eastAsia="黑体" w:cs="黑体"/>
                <w:color w:val="000000"/>
                <w:kern w:val="0"/>
                <w:sz w:val="26"/>
                <w:szCs w:val="26"/>
                <w:lang w:bidi="ar"/>
              </w:rPr>
              <w:t>已禁止</w:t>
            </w:r>
          </w:p>
        </w:tc>
        <w:tc>
          <w:tcPr>
            <w:tcW w:w="2290" w:type="dxa"/>
            <w:vAlign w:val="center"/>
          </w:tcPr>
          <w:p>
            <w:pPr>
              <w:widowControl/>
              <w:jc w:val="center"/>
              <w:textAlignment w:val="center"/>
              <w:rPr>
                <w:rFonts w:hint="eastAsia" w:ascii="黑体" w:hAnsi="黑体" w:eastAsia="黑体" w:cs="黑体"/>
                <w:color w:val="000000"/>
                <w:sz w:val="26"/>
                <w:szCs w:val="26"/>
              </w:rPr>
            </w:pPr>
            <w:r>
              <w:rPr>
                <w:rFonts w:hint="eastAsia" w:ascii="黑体" w:hAnsi="黑体" w:eastAsia="黑体" w:cs="黑体"/>
                <w:color w:val="000000"/>
                <w:kern w:val="0"/>
                <w:sz w:val="26"/>
                <w:szCs w:val="26"/>
                <w:lang w:bidi="ar"/>
              </w:rPr>
              <w:t>2020年底</w:t>
            </w:r>
          </w:p>
        </w:tc>
        <w:tc>
          <w:tcPr>
            <w:tcW w:w="2540" w:type="dxa"/>
            <w:vAlign w:val="center"/>
          </w:tcPr>
          <w:p>
            <w:pPr>
              <w:widowControl/>
              <w:jc w:val="center"/>
              <w:textAlignment w:val="center"/>
              <w:rPr>
                <w:rFonts w:hint="eastAsia" w:ascii="黑体" w:hAnsi="黑体" w:eastAsia="黑体" w:cs="黑体"/>
                <w:color w:val="000000"/>
                <w:sz w:val="26"/>
                <w:szCs w:val="26"/>
              </w:rPr>
            </w:pPr>
            <w:r>
              <w:rPr>
                <w:rFonts w:hint="eastAsia" w:ascii="黑体" w:hAnsi="黑体" w:eastAsia="黑体" w:cs="黑体"/>
                <w:color w:val="000000"/>
                <w:kern w:val="0"/>
                <w:sz w:val="26"/>
                <w:szCs w:val="26"/>
                <w:lang w:bidi="ar"/>
              </w:rPr>
              <w:t>2022年底</w:t>
            </w:r>
          </w:p>
        </w:tc>
        <w:tc>
          <w:tcPr>
            <w:tcW w:w="1740" w:type="dxa"/>
            <w:vAlign w:val="center"/>
          </w:tcPr>
          <w:p>
            <w:pPr>
              <w:widowControl/>
              <w:jc w:val="center"/>
              <w:textAlignment w:val="center"/>
              <w:rPr>
                <w:rFonts w:hint="eastAsia" w:ascii="黑体" w:hAnsi="黑体" w:eastAsia="黑体" w:cs="黑体"/>
                <w:color w:val="000000"/>
                <w:sz w:val="26"/>
                <w:szCs w:val="26"/>
              </w:rPr>
            </w:pPr>
            <w:r>
              <w:rPr>
                <w:rFonts w:hint="eastAsia" w:ascii="黑体" w:hAnsi="黑体" w:eastAsia="黑体" w:cs="黑体"/>
                <w:color w:val="000000"/>
                <w:kern w:val="0"/>
                <w:sz w:val="26"/>
                <w:szCs w:val="26"/>
                <w:lang w:bidi="ar"/>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jc w:val="center"/>
        </w:trPr>
        <w:tc>
          <w:tcPr>
            <w:tcW w:w="10083" w:type="dxa"/>
            <w:gridSpan w:val="5"/>
            <w:vAlign w:val="center"/>
          </w:tcPr>
          <w:p>
            <w:pPr>
              <w:widowControl/>
              <w:jc w:val="left"/>
              <w:textAlignment w:val="center"/>
              <w:rPr>
                <w:rFonts w:hint="default" w:ascii="Times New Roman" w:hAnsi="Times New Roman" w:eastAsia="黑体" w:cs="Times New Roman"/>
                <w:color w:val="000000"/>
                <w:sz w:val="24"/>
                <w:szCs w:val="24"/>
              </w:rPr>
            </w:pPr>
            <w:r>
              <w:rPr>
                <w:rFonts w:hint="default" w:ascii="Times New Roman" w:hAnsi="Times New Roman" w:eastAsia="楷体_GB2312" w:cs="Times New Roman"/>
                <w:b/>
                <w:bCs/>
                <w:color w:val="000000"/>
                <w:kern w:val="0"/>
                <w:sz w:val="24"/>
                <w:szCs w:val="24"/>
                <w:lang w:bidi="ar"/>
              </w:rPr>
              <w:t>一、禁止生产、销售的塑料制品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2241" w:type="dxa"/>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厚度小于0.025毫米的超薄塑料购物袋</w:t>
            </w:r>
          </w:p>
        </w:tc>
        <w:tc>
          <w:tcPr>
            <w:tcW w:w="1272" w:type="dxa"/>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全省范围禁止生产、销售</w:t>
            </w:r>
          </w:p>
        </w:tc>
        <w:tc>
          <w:tcPr>
            <w:tcW w:w="2290" w:type="dxa"/>
            <w:vAlign w:val="center"/>
          </w:tcPr>
          <w:p>
            <w:pPr>
              <w:rPr>
                <w:rFonts w:hint="eastAsia" w:ascii="宋体" w:hAnsi="宋体" w:eastAsia="宋体" w:cs="宋体"/>
                <w:color w:val="000000"/>
                <w:sz w:val="20"/>
                <w:szCs w:val="20"/>
              </w:rPr>
            </w:pPr>
          </w:p>
        </w:tc>
        <w:tc>
          <w:tcPr>
            <w:tcW w:w="2540" w:type="dxa"/>
            <w:vAlign w:val="center"/>
          </w:tcPr>
          <w:p>
            <w:pPr>
              <w:rPr>
                <w:rFonts w:hint="eastAsia" w:ascii="宋体" w:hAnsi="宋体" w:eastAsia="宋体" w:cs="宋体"/>
                <w:color w:val="000000"/>
                <w:sz w:val="20"/>
                <w:szCs w:val="20"/>
              </w:rPr>
            </w:pPr>
          </w:p>
        </w:tc>
        <w:tc>
          <w:tcPr>
            <w:tcW w:w="1740" w:type="dxa"/>
            <w:vAlign w:val="center"/>
          </w:tcPr>
          <w:p>
            <w:pP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2241" w:type="dxa"/>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厚度小于0.01毫米的聚乙烯农用地膜</w:t>
            </w:r>
          </w:p>
        </w:tc>
        <w:tc>
          <w:tcPr>
            <w:tcW w:w="1272" w:type="dxa"/>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全省范围禁止生产、销售</w:t>
            </w:r>
          </w:p>
        </w:tc>
        <w:tc>
          <w:tcPr>
            <w:tcW w:w="2290" w:type="dxa"/>
            <w:vAlign w:val="center"/>
          </w:tcPr>
          <w:p>
            <w:pPr>
              <w:rPr>
                <w:rFonts w:hint="eastAsia" w:ascii="宋体" w:hAnsi="宋体" w:eastAsia="宋体" w:cs="宋体"/>
                <w:color w:val="000000"/>
                <w:sz w:val="20"/>
                <w:szCs w:val="20"/>
              </w:rPr>
            </w:pPr>
          </w:p>
        </w:tc>
        <w:tc>
          <w:tcPr>
            <w:tcW w:w="2540" w:type="dxa"/>
            <w:vAlign w:val="center"/>
          </w:tcPr>
          <w:p>
            <w:pPr>
              <w:rPr>
                <w:rFonts w:hint="eastAsia" w:ascii="宋体" w:hAnsi="宋体" w:eastAsia="宋体" w:cs="宋体"/>
                <w:color w:val="000000"/>
                <w:sz w:val="20"/>
                <w:szCs w:val="20"/>
              </w:rPr>
            </w:pPr>
          </w:p>
        </w:tc>
        <w:tc>
          <w:tcPr>
            <w:tcW w:w="1740" w:type="dxa"/>
            <w:vAlign w:val="center"/>
          </w:tcPr>
          <w:p>
            <w:pP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2241" w:type="dxa"/>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以医疗废物为原料制造塑料制品</w:t>
            </w:r>
          </w:p>
        </w:tc>
        <w:tc>
          <w:tcPr>
            <w:tcW w:w="1272" w:type="dxa"/>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全省范围禁止 </w:t>
            </w:r>
          </w:p>
        </w:tc>
        <w:tc>
          <w:tcPr>
            <w:tcW w:w="2290" w:type="dxa"/>
            <w:vAlign w:val="center"/>
          </w:tcPr>
          <w:p>
            <w:pPr>
              <w:rPr>
                <w:rFonts w:hint="eastAsia" w:ascii="宋体" w:hAnsi="宋体" w:eastAsia="宋体" w:cs="宋体"/>
                <w:color w:val="000000"/>
                <w:sz w:val="20"/>
                <w:szCs w:val="20"/>
              </w:rPr>
            </w:pPr>
          </w:p>
        </w:tc>
        <w:tc>
          <w:tcPr>
            <w:tcW w:w="2540" w:type="dxa"/>
            <w:vAlign w:val="center"/>
          </w:tcPr>
          <w:p>
            <w:pPr>
              <w:rPr>
                <w:rFonts w:hint="eastAsia" w:ascii="宋体" w:hAnsi="宋体" w:eastAsia="宋体" w:cs="宋体"/>
                <w:color w:val="000000"/>
                <w:sz w:val="20"/>
                <w:szCs w:val="20"/>
              </w:rPr>
            </w:pPr>
          </w:p>
        </w:tc>
        <w:tc>
          <w:tcPr>
            <w:tcW w:w="1740" w:type="dxa"/>
            <w:vAlign w:val="center"/>
          </w:tcPr>
          <w:p>
            <w:pP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2241" w:type="dxa"/>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废塑料进口</w:t>
            </w:r>
          </w:p>
        </w:tc>
        <w:tc>
          <w:tcPr>
            <w:tcW w:w="1272" w:type="dxa"/>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全省范围禁止 </w:t>
            </w:r>
          </w:p>
        </w:tc>
        <w:tc>
          <w:tcPr>
            <w:tcW w:w="2290" w:type="dxa"/>
            <w:vAlign w:val="center"/>
          </w:tcPr>
          <w:p>
            <w:pPr>
              <w:rPr>
                <w:rFonts w:hint="eastAsia" w:ascii="宋体" w:hAnsi="宋体" w:eastAsia="宋体" w:cs="宋体"/>
                <w:color w:val="000000"/>
                <w:sz w:val="20"/>
                <w:szCs w:val="20"/>
              </w:rPr>
            </w:pPr>
          </w:p>
        </w:tc>
        <w:tc>
          <w:tcPr>
            <w:tcW w:w="2540" w:type="dxa"/>
            <w:vAlign w:val="center"/>
          </w:tcPr>
          <w:p>
            <w:pPr>
              <w:rPr>
                <w:rFonts w:hint="eastAsia" w:ascii="宋体" w:hAnsi="宋体" w:eastAsia="宋体" w:cs="宋体"/>
                <w:color w:val="000000"/>
                <w:sz w:val="20"/>
                <w:szCs w:val="20"/>
              </w:rPr>
            </w:pPr>
          </w:p>
        </w:tc>
        <w:tc>
          <w:tcPr>
            <w:tcW w:w="1740" w:type="dxa"/>
            <w:vAlign w:val="center"/>
          </w:tcPr>
          <w:p>
            <w:pP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jc w:val="center"/>
        </w:trPr>
        <w:tc>
          <w:tcPr>
            <w:tcW w:w="2241" w:type="dxa"/>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一次性发泡塑料餐具</w:t>
            </w:r>
          </w:p>
        </w:tc>
        <w:tc>
          <w:tcPr>
            <w:tcW w:w="1272" w:type="dxa"/>
            <w:vAlign w:val="center"/>
          </w:tcPr>
          <w:p>
            <w:pPr>
              <w:rPr>
                <w:rFonts w:hint="eastAsia" w:ascii="宋体" w:hAnsi="宋体" w:eastAsia="宋体" w:cs="宋体"/>
                <w:color w:val="000000"/>
                <w:sz w:val="20"/>
                <w:szCs w:val="20"/>
              </w:rPr>
            </w:pPr>
          </w:p>
        </w:tc>
        <w:tc>
          <w:tcPr>
            <w:tcW w:w="2290" w:type="dxa"/>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全省范围禁止生产、销售</w:t>
            </w:r>
          </w:p>
        </w:tc>
        <w:tc>
          <w:tcPr>
            <w:tcW w:w="2540" w:type="dxa"/>
            <w:vAlign w:val="center"/>
          </w:tcPr>
          <w:p>
            <w:pPr>
              <w:rPr>
                <w:rFonts w:hint="eastAsia" w:ascii="宋体" w:hAnsi="宋体" w:eastAsia="宋体" w:cs="宋体"/>
                <w:color w:val="000000"/>
                <w:sz w:val="20"/>
                <w:szCs w:val="20"/>
              </w:rPr>
            </w:pPr>
          </w:p>
        </w:tc>
        <w:tc>
          <w:tcPr>
            <w:tcW w:w="1740" w:type="dxa"/>
            <w:vAlign w:val="center"/>
          </w:tcPr>
          <w:p>
            <w:pP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2241" w:type="dxa"/>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一次性塑料棉签</w:t>
            </w:r>
          </w:p>
        </w:tc>
        <w:tc>
          <w:tcPr>
            <w:tcW w:w="1272" w:type="dxa"/>
            <w:vAlign w:val="center"/>
          </w:tcPr>
          <w:p>
            <w:pPr>
              <w:rPr>
                <w:rFonts w:hint="eastAsia" w:ascii="宋体" w:hAnsi="宋体" w:eastAsia="宋体" w:cs="宋体"/>
                <w:color w:val="000000"/>
                <w:sz w:val="20"/>
                <w:szCs w:val="20"/>
              </w:rPr>
            </w:pPr>
          </w:p>
        </w:tc>
        <w:tc>
          <w:tcPr>
            <w:tcW w:w="2290" w:type="dxa"/>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全省范围禁止生产、销售</w:t>
            </w:r>
          </w:p>
        </w:tc>
        <w:tc>
          <w:tcPr>
            <w:tcW w:w="2540" w:type="dxa"/>
            <w:vAlign w:val="center"/>
          </w:tcPr>
          <w:p>
            <w:pPr>
              <w:rPr>
                <w:rFonts w:hint="eastAsia" w:ascii="宋体" w:hAnsi="宋体" w:eastAsia="宋体" w:cs="宋体"/>
                <w:color w:val="000000"/>
                <w:sz w:val="20"/>
                <w:szCs w:val="20"/>
              </w:rPr>
            </w:pPr>
          </w:p>
        </w:tc>
        <w:tc>
          <w:tcPr>
            <w:tcW w:w="1740" w:type="dxa"/>
            <w:vAlign w:val="center"/>
          </w:tcPr>
          <w:p>
            <w:pP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2241" w:type="dxa"/>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含塑料微珠的日化用品</w:t>
            </w:r>
          </w:p>
        </w:tc>
        <w:tc>
          <w:tcPr>
            <w:tcW w:w="1272" w:type="dxa"/>
            <w:vAlign w:val="center"/>
          </w:tcPr>
          <w:p>
            <w:pPr>
              <w:rPr>
                <w:rFonts w:hint="eastAsia" w:ascii="宋体" w:hAnsi="宋体" w:eastAsia="宋体" w:cs="宋体"/>
                <w:color w:val="000000"/>
                <w:sz w:val="20"/>
                <w:szCs w:val="20"/>
              </w:rPr>
            </w:pPr>
          </w:p>
        </w:tc>
        <w:tc>
          <w:tcPr>
            <w:tcW w:w="2290" w:type="dxa"/>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全省范围禁止生产 </w:t>
            </w:r>
          </w:p>
        </w:tc>
        <w:tc>
          <w:tcPr>
            <w:tcW w:w="2540" w:type="dxa"/>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全省范围禁止销售</w:t>
            </w:r>
          </w:p>
        </w:tc>
        <w:tc>
          <w:tcPr>
            <w:tcW w:w="1740" w:type="dxa"/>
            <w:vAlign w:val="center"/>
          </w:tcPr>
          <w:p>
            <w:pP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0083" w:type="dxa"/>
            <w:gridSpan w:val="5"/>
            <w:vAlign w:val="center"/>
          </w:tcPr>
          <w:p>
            <w:pPr>
              <w:widowControl/>
              <w:jc w:val="left"/>
              <w:textAlignment w:val="center"/>
              <w:rPr>
                <w:rFonts w:hint="default" w:ascii="Times New Roman" w:hAnsi="Times New Roman" w:eastAsia="黑体" w:cs="Times New Roman"/>
                <w:color w:val="000000"/>
                <w:sz w:val="24"/>
                <w:szCs w:val="24"/>
              </w:rPr>
            </w:pPr>
            <w:r>
              <w:rPr>
                <w:rFonts w:hint="default" w:ascii="Times New Roman" w:hAnsi="Times New Roman" w:eastAsia="楷体_GB2312" w:cs="Times New Roman"/>
                <w:b/>
                <w:bCs/>
                <w:color w:val="000000"/>
                <w:kern w:val="0"/>
                <w:sz w:val="24"/>
                <w:szCs w:val="24"/>
                <w:lang w:bidi="ar"/>
              </w:rPr>
              <w:t>二、禁止、限制使用的塑料制品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39" w:hRule="atLeast"/>
          <w:jc w:val="center"/>
        </w:trPr>
        <w:tc>
          <w:tcPr>
            <w:tcW w:w="2241" w:type="dxa"/>
            <w:vAlign w:val="center"/>
          </w:tcPr>
          <w:p>
            <w:pPr>
              <w:widowControl/>
              <w:spacing w:line="30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不可降解塑料袋</w:t>
            </w:r>
          </w:p>
        </w:tc>
        <w:tc>
          <w:tcPr>
            <w:tcW w:w="1272" w:type="dxa"/>
            <w:vAlign w:val="center"/>
          </w:tcPr>
          <w:p>
            <w:pPr>
              <w:spacing w:line="300" w:lineRule="exact"/>
              <w:rPr>
                <w:rFonts w:hint="eastAsia" w:ascii="宋体" w:hAnsi="宋体" w:eastAsia="宋体" w:cs="宋体"/>
                <w:color w:val="000000"/>
                <w:sz w:val="20"/>
                <w:szCs w:val="20"/>
              </w:rPr>
            </w:pPr>
          </w:p>
        </w:tc>
        <w:tc>
          <w:tcPr>
            <w:tcW w:w="2290" w:type="dxa"/>
            <w:vAlign w:val="center"/>
          </w:tcPr>
          <w:p>
            <w:pPr>
              <w:widowControl/>
              <w:spacing w:line="300" w:lineRule="exact"/>
              <w:jc w:val="left"/>
              <w:textAlignment w:val="center"/>
              <w:rPr>
                <w:rFonts w:hint="eastAsia" w:ascii="宋体" w:hAnsi="宋体" w:eastAsia="宋体" w:cs="宋体"/>
                <w:color w:val="000000"/>
                <w:kern w:val="0"/>
                <w:sz w:val="20"/>
                <w:szCs w:val="20"/>
                <w:lang w:bidi="ar"/>
              </w:rPr>
            </w:pPr>
          </w:p>
          <w:p>
            <w:pPr>
              <w:widowControl/>
              <w:spacing w:line="30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成都市城市建成区的商场、超市、药店、书店等场所以及餐饮打包外卖服务和各类展会活动禁止使用，集贸市场规范和限制使用</w:t>
            </w:r>
          </w:p>
        </w:tc>
        <w:tc>
          <w:tcPr>
            <w:tcW w:w="2540" w:type="dxa"/>
            <w:vAlign w:val="center"/>
          </w:tcPr>
          <w:p>
            <w:pPr>
              <w:widowControl/>
              <w:spacing w:line="30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地级及以上城市建成区的商场、超市、药店、书店等场所以及餐饮打包外卖服务和各类展会活动禁止使用，集贸市场规范和限制使用</w:t>
            </w:r>
          </w:p>
        </w:tc>
        <w:tc>
          <w:tcPr>
            <w:tcW w:w="1740" w:type="dxa"/>
            <w:vAlign w:val="center"/>
          </w:tcPr>
          <w:p>
            <w:pPr>
              <w:widowControl/>
              <w:spacing w:line="30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地级及以上城市建成区的集贸市场禁止使用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4" w:hRule="atLeast"/>
          <w:jc w:val="center"/>
        </w:trPr>
        <w:tc>
          <w:tcPr>
            <w:tcW w:w="2241" w:type="dxa"/>
            <w:vAlign w:val="center"/>
          </w:tcPr>
          <w:p>
            <w:pPr>
              <w:widowControl/>
              <w:spacing w:line="30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不可降解的一次性塑料吸管</w:t>
            </w:r>
          </w:p>
        </w:tc>
        <w:tc>
          <w:tcPr>
            <w:tcW w:w="1272" w:type="dxa"/>
            <w:vAlign w:val="center"/>
          </w:tcPr>
          <w:p>
            <w:pPr>
              <w:spacing w:line="300" w:lineRule="exact"/>
              <w:rPr>
                <w:rFonts w:hint="eastAsia" w:ascii="宋体" w:hAnsi="宋体" w:eastAsia="宋体" w:cs="宋体"/>
                <w:color w:val="000000"/>
                <w:sz w:val="20"/>
                <w:szCs w:val="20"/>
              </w:rPr>
            </w:pPr>
          </w:p>
        </w:tc>
        <w:tc>
          <w:tcPr>
            <w:tcW w:w="2290" w:type="dxa"/>
            <w:vAlign w:val="center"/>
          </w:tcPr>
          <w:p>
            <w:pPr>
              <w:widowControl/>
              <w:spacing w:line="30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全省餐饮行业禁止使用</w:t>
            </w:r>
          </w:p>
        </w:tc>
        <w:tc>
          <w:tcPr>
            <w:tcW w:w="2540" w:type="dxa"/>
            <w:vAlign w:val="center"/>
          </w:tcPr>
          <w:p>
            <w:pPr>
              <w:spacing w:line="300" w:lineRule="exact"/>
              <w:rPr>
                <w:rFonts w:hint="eastAsia" w:ascii="宋体" w:hAnsi="宋体" w:eastAsia="宋体" w:cs="宋体"/>
                <w:color w:val="000000"/>
                <w:sz w:val="20"/>
                <w:szCs w:val="20"/>
              </w:rPr>
            </w:pPr>
          </w:p>
        </w:tc>
        <w:tc>
          <w:tcPr>
            <w:tcW w:w="1740" w:type="dxa"/>
            <w:vAlign w:val="center"/>
          </w:tcPr>
          <w:p>
            <w:pPr>
              <w:spacing w:line="300" w:lineRule="exact"/>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9" w:hRule="atLeast"/>
          <w:jc w:val="center"/>
        </w:trPr>
        <w:tc>
          <w:tcPr>
            <w:tcW w:w="2241" w:type="dxa"/>
            <w:vAlign w:val="center"/>
          </w:tcPr>
          <w:p>
            <w:pPr>
              <w:widowControl/>
              <w:spacing w:line="30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一次性塑料餐具</w:t>
            </w:r>
          </w:p>
        </w:tc>
        <w:tc>
          <w:tcPr>
            <w:tcW w:w="1272" w:type="dxa"/>
            <w:vAlign w:val="center"/>
          </w:tcPr>
          <w:p>
            <w:pPr>
              <w:spacing w:line="300" w:lineRule="exact"/>
              <w:rPr>
                <w:rFonts w:hint="eastAsia" w:ascii="宋体" w:hAnsi="宋体" w:eastAsia="宋体" w:cs="宋体"/>
                <w:color w:val="000000"/>
                <w:sz w:val="20"/>
                <w:szCs w:val="20"/>
              </w:rPr>
            </w:pPr>
          </w:p>
        </w:tc>
        <w:tc>
          <w:tcPr>
            <w:tcW w:w="2290" w:type="dxa"/>
            <w:vAlign w:val="center"/>
          </w:tcPr>
          <w:p>
            <w:pPr>
              <w:widowControl/>
              <w:spacing w:line="30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地级及以上城市建成区、A级旅游景区、旅游度假区、生态旅游示范区的餐饮堂食服务禁止使用</w:t>
            </w:r>
          </w:p>
        </w:tc>
        <w:tc>
          <w:tcPr>
            <w:tcW w:w="2540" w:type="dxa"/>
            <w:vAlign w:val="center"/>
          </w:tcPr>
          <w:p>
            <w:pPr>
              <w:widowControl/>
              <w:spacing w:line="30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县城建成区、A级旅游景区、旅游度假区、生态旅游示范区餐饮堂食服务禁止使用</w:t>
            </w:r>
          </w:p>
        </w:tc>
        <w:tc>
          <w:tcPr>
            <w:tcW w:w="1740" w:type="dxa"/>
            <w:vAlign w:val="center"/>
          </w:tcPr>
          <w:p>
            <w:pPr>
              <w:widowControl/>
              <w:spacing w:line="30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地级及以上城市餐饮外卖领域不可降解一次性塑料餐具消耗强度下降50%。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90" w:hRule="atLeast"/>
          <w:jc w:val="center"/>
        </w:trPr>
        <w:tc>
          <w:tcPr>
            <w:tcW w:w="2241" w:type="dxa"/>
            <w:vAlign w:val="center"/>
          </w:tcPr>
          <w:p>
            <w:pPr>
              <w:widowControl/>
              <w:spacing w:line="30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宾馆、酒店一次性塑料用品</w:t>
            </w:r>
          </w:p>
        </w:tc>
        <w:tc>
          <w:tcPr>
            <w:tcW w:w="1272" w:type="dxa"/>
            <w:vAlign w:val="center"/>
          </w:tcPr>
          <w:p>
            <w:pPr>
              <w:spacing w:line="300" w:lineRule="exact"/>
              <w:rPr>
                <w:rFonts w:hint="eastAsia" w:ascii="宋体" w:hAnsi="宋体" w:eastAsia="宋体" w:cs="宋体"/>
                <w:color w:val="000000"/>
                <w:sz w:val="20"/>
                <w:szCs w:val="20"/>
              </w:rPr>
            </w:pPr>
          </w:p>
        </w:tc>
        <w:tc>
          <w:tcPr>
            <w:tcW w:w="2290" w:type="dxa"/>
            <w:vAlign w:val="center"/>
          </w:tcPr>
          <w:p>
            <w:pPr>
              <w:spacing w:line="300" w:lineRule="exact"/>
              <w:rPr>
                <w:rFonts w:hint="eastAsia" w:ascii="宋体" w:hAnsi="宋体" w:eastAsia="宋体" w:cs="宋体"/>
                <w:color w:val="000000"/>
                <w:sz w:val="20"/>
                <w:szCs w:val="20"/>
              </w:rPr>
            </w:pPr>
          </w:p>
        </w:tc>
        <w:tc>
          <w:tcPr>
            <w:tcW w:w="2540" w:type="dxa"/>
            <w:vAlign w:val="center"/>
          </w:tcPr>
          <w:p>
            <w:pPr>
              <w:widowControl/>
              <w:spacing w:line="30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全省星级饭店禁止使用不可降解一次性塑料水杯、垃圾袋，客房禁止使用带一次性塑料包装的洗漱用品、塑料洗衣袋，餐厅堂食禁止使用一次性塑料餐具、桌布，不主动提供一次性塑料用品</w:t>
            </w:r>
          </w:p>
        </w:tc>
        <w:tc>
          <w:tcPr>
            <w:tcW w:w="1740" w:type="dxa"/>
            <w:vAlign w:val="center"/>
          </w:tcPr>
          <w:p>
            <w:pPr>
              <w:widowControl/>
              <w:spacing w:line="30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所有宾馆、酒店、民宿禁止使用，不主动提供一次性塑料用品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0" w:hRule="atLeast"/>
          <w:jc w:val="center"/>
        </w:trPr>
        <w:tc>
          <w:tcPr>
            <w:tcW w:w="2241" w:type="dxa"/>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快递塑料包装</w:t>
            </w:r>
          </w:p>
        </w:tc>
        <w:tc>
          <w:tcPr>
            <w:tcW w:w="1272" w:type="dxa"/>
            <w:vAlign w:val="center"/>
          </w:tcPr>
          <w:p>
            <w:pPr>
              <w:rPr>
                <w:rFonts w:hint="eastAsia" w:ascii="宋体" w:hAnsi="宋体" w:eastAsia="宋体" w:cs="宋体"/>
                <w:color w:val="000000"/>
                <w:sz w:val="20"/>
                <w:szCs w:val="20"/>
              </w:rPr>
            </w:pPr>
          </w:p>
        </w:tc>
        <w:tc>
          <w:tcPr>
            <w:tcW w:w="2290" w:type="dxa"/>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全省邮政业力争实现45毫米以下“瘦身胶带”封装比例90%、电商快件不再二次包装率70%、可循环中转袋使用率90%、新增2万个设置标准包装废弃物回收装置的邮政快递网点，按照规范封装操作的比例、符合标准的包装材料应用比例均达到90%以上</w:t>
            </w:r>
          </w:p>
        </w:tc>
        <w:tc>
          <w:tcPr>
            <w:tcW w:w="2540" w:type="dxa"/>
            <w:vAlign w:val="center"/>
          </w:tcPr>
          <w:p>
            <w:pPr>
              <w:rPr>
                <w:rFonts w:hint="eastAsia" w:ascii="宋体" w:hAnsi="宋体" w:eastAsia="宋体" w:cs="宋体"/>
                <w:color w:val="000000"/>
                <w:sz w:val="20"/>
                <w:szCs w:val="20"/>
              </w:rPr>
            </w:pPr>
          </w:p>
        </w:tc>
        <w:tc>
          <w:tcPr>
            <w:tcW w:w="1740" w:type="dxa"/>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全省邮政快递网点禁止使用不可降解的塑料包装袋、塑料胶带、一次性塑料编织袋等</w:t>
            </w:r>
          </w:p>
        </w:tc>
      </w:tr>
    </w:tbl>
    <w:p>
      <w:pPr>
        <w:overflowPunct w:val="0"/>
        <w:topLinePunct/>
        <w:snapToGrid w:val="0"/>
        <w:spacing w:line="600" w:lineRule="exact"/>
        <w:rPr>
          <w:rFonts w:hint="default" w:ascii="Times New Roman" w:hAnsi="Times New Roman" w:eastAsia="黑体" w:cs="Times New Roman"/>
          <w:sz w:val="32"/>
          <w:szCs w:val="32"/>
        </w:rPr>
      </w:pPr>
    </w:p>
    <w:sectPr>
      <w:pgSz w:w="11906" w:h="16838"/>
      <w:pgMar w:top="2098" w:right="1587" w:bottom="2098" w:left="158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A7"/>
    <w:rsid w:val="00252895"/>
    <w:rsid w:val="00545500"/>
    <w:rsid w:val="005613BF"/>
    <w:rsid w:val="005A36F1"/>
    <w:rsid w:val="00663260"/>
    <w:rsid w:val="007120E0"/>
    <w:rsid w:val="007326A7"/>
    <w:rsid w:val="00782E20"/>
    <w:rsid w:val="007F5DD6"/>
    <w:rsid w:val="00827CE1"/>
    <w:rsid w:val="0085260D"/>
    <w:rsid w:val="00904F30"/>
    <w:rsid w:val="00A1689F"/>
    <w:rsid w:val="00A70782"/>
    <w:rsid w:val="00B769E9"/>
    <w:rsid w:val="00BF5492"/>
    <w:rsid w:val="00C511F5"/>
    <w:rsid w:val="00CB41DB"/>
    <w:rsid w:val="00D217A8"/>
    <w:rsid w:val="00D47185"/>
    <w:rsid w:val="00DE2214"/>
    <w:rsid w:val="00E079D4"/>
    <w:rsid w:val="00E8412F"/>
    <w:rsid w:val="00F2774F"/>
    <w:rsid w:val="00FD2B92"/>
    <w:rsid w:val="00FF1086"/>
    <w:rsid w:val="14260681"/>
    <w:rsid w:val="22EB6FCC"/>
    <w:rsid w:val="243907C7"/>
    <w:rsid w:val="2EE7187D"/>
    <w:rsid w:val="34A36158"/>
    <w:rsid w:val="40466764"/>
    <w:rsid w:val="40DC4E11"/>
    <w:rsid w:val="46FC1A9C"/>
    <w:rsid w:val="48061F24"/>
    <w:rsid w:val="5ECC4EF0"/>
    <w:rsid w:val="5FBC74A8"/>
    <w:rsid w:val="60A204AD"/>
    <w:rsid w:val="6EA57AA8"/>
    <w:rsid w:val="75840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989</Words>
  <Characters>5642</Characters>
  <Lines>47</Lines>
  <Paragraphs>13</Paragraphs>
  <TotalTime>8</TotalTime>
  <ScaleCrop>false</ScaleCrop>
  <LinksUpToDate>false</LinksUpToDate>
  <CharactersWithSpaces>6618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2020-06-23T02:00:00Z</dcterms:created>
  <dc:creator>冉青松</dc:creator>
  <cp:lastModifiedBy>王帅</cp:lastModifiedBy>
  <dcterms:modified xsi:type="dcterms:W3CDTF">2020-10-12T07:49:34Z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