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pPr>
        <w:spacing w:line="580" w:lineRule="exact"/>
        <w:jc w:val="center"/>
        <w:rPr>
          <w:rFonts w:hint="eastAsia" w:ascii="Times New Roman" w:hAnsi="Times New Roman" w:eastAsia="方正小标宋_GBK" w:cs="Times New Roman"/>
          <w:sz w:val="36"/>
          <w:szCs w:val="36"/>
          <w:lang w:eastAsia="zh-CN"/>
        </w:rPr>
      </w:pPr>
      <w:r>
        <w:rPr>
          <w:rFonts w:ascii="Times New Roman" w:hAnsi="Times New Roman" w:eastAsia="方正小标宋_GBK" w:cs="Times New Roman"/>
          <w:sz w:val="36"/>
          <w:szCs w:val="36"/>
        </w:rPr>
        <w:t>就业收入分配</w:t>
      </w:r>
      <w:r>
        <w:rPr>
          <w:rFonts w:hint="eastAsia" w:ascii="Times New Roman" w:hAnsi="Times New Roman" w:eastAsia="方正小标宋_GBK" w:cs="Times New Roman"/>
          <w:sz w:val="36"/>
          <w:szCs w:val="36"/>
        </w:rPr>
        <w:t>和消费</w:t>
      </w:r>
      <w:r>
        <w:rPr>
          <w:rFonts w:ascii="Times New Roman" w:hAnsi="Times New Roman" w:eastAsia="方正小标宋_GBK" w:cs="Times New Roman"/>
          <w:sz w:val="36"/>
          <w:szCs w:val="36"/>
        </w:rPr>
        <w:t>司201</w:t>
      </w:r>
      <w:r>
        <w:rPr>
          <w:rFonts w:hint="eastAsia" w:ascii="Times New Roman" w:hAnsi="Times New Roman" w:eastAsia="方正小标宋_GBK" w:cs="Times New Roman"/>
          <w:sz w:val="36"/>
          <w:szCs w:val="36"/>
        </w:rPr>
        <w:t>9</w:t>
      </w:r>
      <w:r>
        <w:rPr>
          <w:rFonts w:ascii="Times New Roman" w:hAnsi="Times New Roman" w:eastAsia="方正小标宋_GBK" w:cs="Times New Roman"/>
          <w:sz w:val="36"/>
          <w:szCs w:val="36"/>
        </w:rPr>
        <w:t>年课题研究</w:t>
      </w:r>
      <w:r>
        <w:rPr>
          <w:rFonts w:hint="eastAsia" w:ascii="Times New Roman" w:hAnsi="Times New Roman" w:eastAsia="方正小标宋_GBK" w:cs="Times New Roman"/>
          <w:sz w:val="36"/>
          <w:szCs w:val="36"/>
          <w:lang w:eastAsia="zh-CN"/>
        </w:rPr>
        <w:t>要点</w:t>
      </w:r>
    </w:p>
    <w:p>
      <w:pPr>
        <w:spacing w:line="580" w:lineRule="exact"/>
        <w:jc w:val="left"/>
      </w:pPr>
    </w:p>
    <w:p>
      <w:pPr>
        <w:spacing w:line="580" w:lineRule="exact"/>
        <w:ind w:firstLine="600" w:firstLineChars="200"/>
        <w:rPr>
          <w:rFonts w:ascii="Times New Roman" w:hAnsi="Times New Roman" w:eastAsia="方正楷体_GBK" w:cs="Times New Roman"/>
          <w:color w:val="000000" w:themeColor="text1"/>
          <w:sz w:val="30"/>
          <w:szCs w:val="30"/>
        </w:rPr>
      </w:pPr>
      <w:r>
        <w:rPr>
          <w:rFonts w:hint="eastAsia" w:ascii="Times New Roman" w:hAnsi="Times New Roman" w:eastAsia="方正楷体_GBK" w:cs="Times New Roman"/>
          <w:color w:val="000000" w:themeColor="text1"/>
          <w:sz w:val="30"/>
          <w:szCs w:val="30"/>
          <w:lang w:val="en-US" w:eastAsia="zh-CN"/>
        </w:rPr>
        <w:t>1</w:t>
      </w:r>
      <w:r>
        <w:rPr>
          <w:rFonts w:ascii="Times New Roman" w:hAnsi="Times New Roman" w:eastAsia="方正楷体_GBK" w:cs="Times New Roman"/>
          <w:color w:val="000000" w:themeColor="text1"/>
          <w:sz w:val="30"/>
          <w:szCs w:val="30"/>
        </w:rPr>
        <w:t>、“十四五”时期就业形势及促进就业总体思路研究</w:t>
      </w:r>
    </w:p>
    <w:p>
      <w:pPr>
        <w:spacing w:line="580" w:lineRule="exact"/>
        <w:ind w:firstLine="600" w:firstLineChars="200"/>
        <w:rPr>
          <w:rFonts w:ascii="Times New Roman" w:hAnsi="Times New Roman" w:eastAsia="方正仿宋_GBK" w:cs="Times New Roman"/>
          <w:color w:val="000000" w:themeColor="text1"/>
          <w:sz w:val="30"/>
          <w:szCs w:val="30"/>
        </w:rPr>
      </w:pPr>
      <w:r>
        <w:rPr>
          <w:rFonts w:ascii="Times New Roman" w:hAnsi="Times New Roman" w:eastAsia="方正楷体_GBK" w:cs="Times New Roman"/>
          <w:color w:val="000000" w:themeColor="text1"/>
          <w:sz w:val="30"/>
          <w:szCs w:val="30"/>
        </w:rPr>
        <w:t>研究要点：</w:t>
      </w:r>
      <w:r>
        <w:rPr>
          <w:rFonts w:ascii="Times New Roman" w:hAnsi="Times New Roman" w:eastAsia="方正仿宋_GBK" w:cs="Times New Roman"/>
          <w:color w:val="000000" w:themeColor="text1"/>
          <w:sz w:val="30"/>
          <w:szCs w:val="30"/>
        </w:rPr>
        <w:t>梳理总结“十三五”时期我国促进就业的成就、经验和存在的问题，深入分析人口结构、劳动力供需和经济发展、产业结构调整等的发展趋势及其对就业的影响，深入研判“十四五”时期我国就业形势和面临的挑战，深刻剖析我国就业领域亟待解决的重大问题和体制机制障碍，研究提出“十四五”时期促进就业的总体要求、主要目标、基本思路、政策取向、重点任务和重大举措。</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2、就业领域数据系统整合分析与问题研究</w:t>
      </w:r>
    </w:p>
    <w:p>
      <w:pPr>
        <w:spacing w:line="580" w:lineRule="exact"/>
        <w:ind w:firstLine="600" w:firstLineChars="200"/>
        <w:rPr>
          <w:rFonts w:ascii="Times New Roman" w:hAnsi="Times New Roman" w:eastAsia="方正仿宋_GBK" w:cs="Times New Roman"/>
          <w:color w:val="000000" w:themeColor="text1"/>
          <w:sz w:val="30"/>
          <w:szCs w:val="30"/>
        </w:rPr>
      </w:pPr>
      <w:r>
        <w:rPr>
          <w:rFonts w:ascii="Times New Roman" w:hAnsi="Times New Roman" w:eastAsia="方正楷体_GBK" w:cs="Times New Roman"/>
          <w:color w:val="000000" w:themeColor="text1"/>
          <w:sz w:val="30"/>
          <w:szCs w:val="30"/>
        </w:rPr>
        <w:t>研究要点：</w:t>
      </w:r>
      <w:r>
        <w:rPr>
          <w:rFonts w:ascii="Times New Roman" w:hAnsi="Times New Roman" w:eastAsia="方正仿宋_GBK" w:cs="Times New Roman"/>
          <w:color w:val="000000" w:themeColor="text1"/>
          <w:sz w:val="30"/>
          <w:szCs w:val="30"/>
        </w:rPr>
        <w:t>系统梳理并整合就业领域各类数据（包括分散在各个部门和领域的总量、分产业、分所有制、分群体、分地区及体现就业质量的数据），建立一套数据完备、结构清晰、便于应用的全口径就业数据系统。基于整合的数据系统，全面分析我国就业基本情况。剖析就业领域现有数据和统计调查制度存在的突出矛盾和问题，研究提出进一步完善统计调查制度、优化就业统计数据的政策建议。</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3、就业优先战略与就业优先政策的国内实践、国际比较和理论研究</w:t>
      </w:r>
    </w:p>
    <w:p>
      <w:pPr>
        <w:spacing w:line="580" w:lineRule="exact"/>
        <w:ind w:firstLine="600" w:firstLineChars="200"/>
        <w:rPr>
          <w:rFonts w:ascii="Times New Roman" w:hAnsi="Times New Roman" w:eastAsia="方正仿宋_GBK" w:cs="Times New Roman"/>
          <w:color w:val="000000" w:themeColor="text1"/>
          <w:sz w:val="30"/>
          <w:szCs w:val="30"/>
        </w:rPr>
      </w:pPr>
      <w:r>
        <w:rPr>
          <w:rFonts w:ascii="Times New Roman" w:hAnsi="Times New Roman" w:eastAsia="方正楷体_GBK" w:cs="Times New Roman"/>
          <w:color w:val="000000" w:themeColor="text1"/>
          <w:sz w:val="30"/>
          <w:szCs w:val="30"/>
        </w:rPr>
        <w:t>研究要点：</w:t>
      </w:r>
      <w:r>
        <w:rPr>
          <w:rFonts w:ascii="Times New Roman" w:hAnsi="Times New Roman" w:eastAsia="方正仿宋_GBK" w:cs="Times New Roman"/>
          <w:color w:val="000000" w:themeColor="text1"/>
          <w:sz w:val="30"/>
          <w:szCs w:val="30"/>
        </w:rPr>
        <w:t>梳理分析我国实施就业优先战略的法律法规、政策制度及实践经验和成效，深刻剖析就业优先战略实施过程中存在的突出问题。分析西方发达国家关于就业优先的政策法规制度、理念思想和实践案例。研究就业政策与财政政策、货币政策、产业政策、社会政策等的关系及其协调联动机制。深刻阐释“就业优先”的理论基础、基本原则、基本思路、落实机制和实施路径等。研究提出充分发挥劳动力市场信号作用，更好实施就业优先战略和就业优先政策的思路和意见建议。</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4、企业用工和技能人才短缺问题研究</w:t>
      </w:r>
    </w:p>
    <w:p>
      <w:pPr>
        <w:spacing w:line="580" w:lineRule="exact"/>
        <w:ind w:firstLine="600" w:firstLineChars="200"/>
        <w:rPr>
          <w:rFonts w:ascii="Times New Roman" w:hAnsi="Times New Roman" w:eastAsia="方正仿宋_GBK" w:cs="Times New Roman"/>
          <w:color w:val="000000" w:themeColor="text1"/>
          <w:sz w:val="30"/>
          <w:szCs w:val="30"/>
        </w:rPr>
      </w:pPr>
      <w:r>
        <w:rPr>
          <w:rFonts w:ascii="Times New Roman" w:hAnsi="Times New Roman" w:eastAsia="方正楷体_GBK" w:cs="Times New Roman"/>
          <w:color w:val="000000" w:themeColor="text1"/>
          <w:sz w:val="30"/>
          <w:szCs w:val="30"/>
        </w:rPr>
        <w:t>研究要点：</w:t>
      </w:r>
      <w:r>
        <w:rPr>
          <w:rFonts w:ascii="Times New Roman" w:hAnsi="Times New Roman" w:eastAsia="方正仿宋_GBK" w:cs="Times New Roman"/>
          <w:color w:val="000000" w:themeColor="text1"/>
          <w:sz w:val="30"/>
          <w:szCs w:val="30"/>
        </w:rPr>
        <w:t>系统分析当前我国企业用工基本形势、技能人才总量和结构等状况，以及企业用工和技能人才短缺的现状和趋势，深刻剖析存在的突出矛盾问题及其深层次原因。围绕实现经济高质量发展、产业迈向中高端的目标，从全国及区域、行业等不同维度，量化分析企业用工和技能人才的缺口。借鉴国际经验，研究提出有效缓解我国企业用工和技能人才短缺的主要思路、政策路径和保障措施。</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5、新一轮科技革命和产业变革对就业的影响及对策研究</w:t>
      </w:r>
    </w:p>
    <w:p>
      <w:pPr>
        <w:spacing w:line="580" w:lineRule="exact"/>
        <w:ind w:firstLine="600" w:firstLineChars="200"/>
        <w:rPr>
          <w:rFonts w:ascii="Times New Roman" w:hAnsi="Times New Roman" w:eastAsia="方正仿宋_GBK" w:cs="Times New Roman"/>
          <w:color w:val="000000" w:themeColor="text1"/>
          <w:sz w:val="30"/>
          <w:szCs w:val="30"/>
        </w:rPr>
      </w:pPr>
      <w:r>
        <w:rPr>
          <w:rFonts w:ascii="Times New Roman" w:hAnsi="Times New Roman" w:eastAsia="方正楷体_GBK" w:cs="Times New Roman"/>
          <w:color w:val="000000" w:themeColor="text1"/>
          <w:sz w:val="30"/>
          <w:szCs w:val="30"/>
        </w:rPr>
        <w:t>研究要点：</w:t>
      </w:r>
      <w:r>
        <w:rPr>
          <w:rFonts w:ascii="Times New Roman" w:hAnsi="Times New Roman" w:eastAsia="方正仿宋_GBK" w:cs="Times New Roman"/>
          <w:color w:val="000000" w:themeColor="text1"/>
          <w:sz w:val="30"/>
          <w:szCs w:val="30"/>
        </w:rPr>
        <w:t>分析研判新一轮科技革命和产业变革（特别是人工智能和数字经济）演进历程和发展趋势，全面、系统、深入地分析其对我国就业总量和结构的影响，特别是劳动力供给和需求在地区、行业、群体及年龄、教育、职业、技能等方面分布的结构性变化，研判未来5至10年甚至更长时期就业总量和结构的发展趋势。着眼长远，借鉴国际经验，从全局角度和宏观层面提出更好适应新一轮科技革命和产业变革以及数字经济发展趋势，推动实现更高质量和更充分就业的战略思路和政策建议。</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6、劳动力要素市场化配置改革问题研究</w:t>
      </w:r>
    </w:p>
    <w:p>
      <w:pPr>
        <w:spacing w:line="580" w:lineRule="exact"/>
        <w:ind w:firstLine="600" w:firstLineChars="200"/>
        <w:rPr>
          <w:rFonts w:hint="eastAsia" w:ascii="Times New Roman" w:hAnsi="Times New Roman" w:eastAsia="方正仿宋_GBK" w:cs="Times New Roman"/>
          <w:color w:val="000000" w:themeColor="text1"/>
          <w:sz w:val="30"/>
          <w:szCs w:val="30"/>
          <w:lang w:eastAsia="zh-CN"/>
        </w:rPr>
      </w:pPr>
      <w:r>
        <w:rPr>
          <w:rFonts w:hint="eastAsia" w:ascii="Times New Roman"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系统</w:t>
      </w:r>
      <w:r>
        <w:rPr>
          <w:rFonts w:ascii="Times New Roman" w:hAnsi="Times New Roman" w:eastAsia="方正仿宋_GBK" w:cs="Times New Roman"/>
          <w:color w:val="000000" w:themeColor="text1"/>
          <w:sz w:val="30"/>
          <w:szCs w:val="30"/>
        </w:rPr>
        <w:t>分析</w:t>
      </w:r>
      <w:r>
        <w:rPr>
          <w:rFonts w:hint="eastAsia" w:ascii="Times New Roman" w:hAnsi="Times New Roman" w:eastAsia="方正仿宋_GBK" w:cs="Times New Roman"/>
          <w:color w:val="000000" w:themeColor="text1"/>
          <w:sz w:val="30"/>
          <w:szCs w:val="30"/>
        </w:rPr>
        <w:t>我国人力资源市场的政策制度</w:t>
      </w:r>
      <w:r>
        <w:rPr>
          <w:rFonts w:ascii="Times New Roman" w:hAnsi="Times New Roman" w:eastAsia="方正仿宋_GBK" w:cs="Times New Roman"/>
          <w:color w:val="000000" w:themeColor="text1"/>
          <w:sz w:val="30"/>
          <w:szCs w:val="30"/>
        </w:rPr>
        <w:t>、</w:t>
      </w:r>
      <w:r>
        <w:rPr>
          <w:rFonts w:hint="eastAsia" w:ascii="Times New Roman" w:hAnsi="Times New Roman" w:eastAsia="方正仿宋_GBK" w:cs="Times New Roman"/>
          <w:color w:val="000000" w:themeColor="text1"/>
          <w:sz w:val="30"/>
          <w:szCs w:val="30"/>
        </w:rPr>
        <w:t>管理体制、运行现状，以及劳动力要素市场化配置的基本状况，深刻剖析</w:t>
      </w:r>
      <w:r>
        <w:rPr>
          <w:rFonts w:ascii="Times New Roman" w:hAnsi="Times New Roman" w:eastAsia="方正仿宋_GBK" w:cs="Times New Roman"/>
          <w:color w:val="000000" w:themeColor="text1"/>
          <w:sz w:val="30"/>
          <w:szCs w:val="30"/>
        </w:rPr>
        <w:t>存在的</w:t>
      </w:r>
      <w:r>
        <w:rPr>
          <w:rFonts w:hint="eastAsia" w:ascii="Times New Roman" w:hAnsi="Times New Roman" w:eastAsia="方正仿宋_GBK" w:cs="Times New Roman"/>
          <w:color w:val="000000" w:themeColor="text1"/>
          <w:sz w:val="30"/>
          <w:szCs w:val="30"/>
        </w:rPr>
        <w:t>突出</w:t>
      </w:r>
      <w:r>
        <w:rPr>
          <w:rFonts w:ascii="Times New Roman" w:hAnsi="Times New Roman" w:eastAsia="方正仿宋_GBK" w:cs="Times New Roman"/>
          <w:color w:val="000000" w:themeColor="text1"/>
          <w:sz w:val="30"/>
          <w:szCs w:val="30"/>
        </w:rPr>
        <w:t>问题</w:t>
      </w:r>
      <w:r>
        <w:rPr>
          <w:rFonts w:hint="eastAsia" w:ascii="Times New Roman" w:hAnsi="Times New Roman" w:eastAsia="方正仿宋_GBK" w:cs="Times New Roman"/>
          <w:color w:val="000000" w:themeColor="text1"/>
          <w:sz w:val="30"/>
          <w:szCs w:val="30"/>
        </w:rPr>
        <w:t>和体制机制弊端。分析西方发达国家人力资源市场运行和劳动力要素市场化配置的政策制度和经验做法。借鉴国际经验，紧紧围绕“深化我国劳动力要素市场化配置改革，加快形成统一开放、竞争有序的人力资源市场”，从宏观层面和全局角度提出</w:t>
      </w:r>
      <w:r>
        <w:rPr>
          <w:rFonts w:hint="eastAsia" w:ascii="Times New Roman" w:hAnsi="Times New Roman" w:eastAsia="方正仿宋_GBK" w:cs="Times New Roman"/>
          <w:color w:val="000000" w:themeColor="text1"/>
          <w:sz w:val="30"/>
          <w:szCs w:val="30"/>
          <w:lang w:eastAsia="zh-CN"/>
        </w:rPr>
        <w:t>附件2</w:t>
      </w:r>
    </w:p>
    <w:p>
      <w:pPr>
        <w:spacing w:line="580" w:lineRule="exact"/>
        <w:ind w:firstLine="600" w:firstLineChars="200"/>
        <w:rPr>
          <w:rFonts w:ascii="Times New Roman" w:hAnsi="Times New Roman" w:eastAsia="方正仿宋_GBK" w:cs="Times New Roman"/>
          <w:color w:val="000000" w:themeColor="text1"/>
          <w:sz w:val="30"/>
          <w:szCs w:val="30"/>
        </w:rPr>
      </w:pPr>
      <w:r>
        <w:rPr>
          <w:rFonts w:hint="eastAsia" w:ascii="Times New Roman" w:hAnsi="Times New Roman" w:eastAsia="方正仿宋_GBK" w:cs="Times New Roman"/>
          <w:color w:val="000000" w:themeColor="text1"/>
          <w:sz w:val="30"/>
          <w:szCs w:val="30"/>
        </w:rPr>
        <w:t>基本原则、主要目标、总体思路、政策取向、</w:t>
      </w:r>
      <w:r>
        <w:rPr>
          <w:rFonts w:ascii="Times New Roman" w:hAnsi="Times New Roman" w:eastAsia="方正仿宋_GBK" w:cs="Times New Roman"/>
          <w:color w:val="000000" w:themeColor="text1"/>
          <w:sz w:val="30"/>
          <w:szCs w:val="30"/>
        </w:rPr>
        <w:t>重点任务和重大举措。</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7、“十四五”培育壮大中等收入群体规划研究</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对扩大中等收入群体规划提出的目标、原则和主要任务进行预测分析和细化实化。对标党的十九大关于我国实现共同富裕的时间表、路线图，充分借鉴国际经验，全面客观分析我国中等收入群体的现状、标准、问题及趋势，提出扩大中等收入群体的可操作见效的政策举措。</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8、我国企业用工成本现状、存在问题和应对之策</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点面结合分析东中西部及东北地区企业用工成本情况，聚焦重点行业、重点企业，分析制造业、金融业、生活性服务业等行业的用工成本形势，将我国企业用工成本、劳动生产率等指标进行国际比较，提出合理调整优化企业成本提升产业竞争力的政策建议。</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9、运用微观模拟模型评估个人所得税等政策效果</w:t>
      </w:r>
    </w:p>
    <w:p>
      <w:pPr>
        <w:spacing w:line="580" w:lineRule="exact"/>
        <w:ind w:firstLine="600" w:firstLineChars="200"/>
        <w:rPr>
          <w:rFonts w:ascii="方正楷体_GBK" w:hAnsi="Times New Roman" w:eastAsia="方正楷体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结合个人所得税改革等政策施行效果，建立微观模拟模型，针对个人所得税改革中在减税方面的效果、对中等收入者的实际益处等进行详细剖析，评估部分地区的政策效应，提出下一阶段促进个税改革等政策建议。</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10、“十四五”居民消费发展趋势及完善促进消费体制机制研究</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从消费规模、消费结构、消费环境、消费能力、消费体制机制等角度分析研判2020-2025年我国居民消费总体情况，可能存在的风险挑战，结合国际比较情况，提出促进形成强大国内市场、进一步完善促进消费体制机制的总体思路和政策建议。</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11、发展消费新业态新模式，促进线上线下消费融合发展的现状与路径研究</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分析我国平台型消费、共享经济等消费新业态新模式，线上线下融合消费的现状和未来发展潜力，研究主要发达国家目前的培育和监管政策情况，提出我国仍存在的制约其发展的体制机制障碍，明确下一步发展培育的政策取向和具体办法。</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12、以旅游市场为例，优化消费市场环境激发消费潜力的方向和政策研究</w:t>
      </w:r>
      <w:bookmarkStart w:id="0" w:name="_GoBack"/>
      <w:bookmarkEnd w:id="0"/>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分析我国旅游消费市场发展现状和特点，以及制约旅游消费提档升级的主要因素，从出入境管理体制、景区管理体制、国际消费中心城市建设、消费基础设施建设等角度，提出优化消费市场环境激发消费潜力的方向和政策建议。</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13、我国中等收入群体的消费特征与消费趋势研究</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themeColor="text1"/>
          <w:sz w:val="30"/>
          <w:szCs w:val="30"/>
        </w:rPr>
        <w:t>研究要点：</w:t>
      </w:r>
      <w:r>
        <w:rPr>
          <w:rFonts w:hint="eastAsia" w:ascii="Times New Roman" w:hAnsi="Times New Roman" w:eastAsia="方正仿宋_GBK" w:cs="Times New Roman"/>
          <w:color w:val="000000" w:themeColor="text1"/>
          <w:sz w:val="30"/>
          <w:szCs w:val="30"/>
        </w:rPr>
        <w:t>中等收入群体是消费“主力军”，分析其消费现状和特点，包括规模、结构、方式、观念、习惯等，剖析影响其消费的主要因素，结合经济社会发展趋势，研判中等收入群体消费趋势，并提出促进消费的政策建议</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14、改善居民消费环境激发居民消费潜力的路径和政策</w:t>
      </w:r>
    </w:p>
    <w:p>
      <w:pPr>
        <w:spacing w:line="580" w:lineRule="exact"/>
        <w:ind w:firstLine="600" w:firstLineChars="200"/>
        <w:rPr>
          <w:rFonts w:hint="eastAsia" w:ascii="Times New Roman" w:hAnsi="Times New Roman" w:eastAsia="方正仿宋_GBK" w:cs="Times New Roman"/>
          <w:color w:val="000000" w:themeColor="text1"/>
          <w:sz w:val="30"/>
          <w:szCs w:val="30"/>
        </w:rPr>
      </w:pPr>
      <w:r>
        <w:rPr>
          <w:rFonts w:hint="eastAsia" w:ascii="方正楷体_GBK" w:hAnsi="Times New Roman" w:eastAsia="方正楷体_GBK" w:cs="Times New Roman"/>
          <w:color w:val="000000"/>
          <w:sz w:val="30"/>
          <w:szCs w:val="30"/>
        </w:rPr>
        <w:t>研究要点：</w:t>
      </w:r>
      <w:r>
        <w:rPr>
          <w:rFonts w:hint="eastAsia" w:ascii="Times New Roman" w:hAnsi="Times New Roman" w:eastAsia="方正仿宋_GBK" w:cs="Times New Roman"/>
          <w:color w:val="000000"/>
          <w:sz w:val="30"/>
          <w:szCs w:val="30"/>
          <w:lang w:eastAsia="zh-CN"/>
        </w:rPr>
        <w:t>分析研判我国目前制约居民消费的体制机制障碍，包括消费政策、消费领域基础设施建设、产品和服务标准、消费者权益保障等方面存在的突出问题，借鉴主要国家先进经验，结合我国发展现状和特点，研究提出当前改善居民消费环境，合理引导居民安心消费、放心消费、舒心消费的实现路径和主要政策措施建议。</w:t>
      </w:r>
    </w:p>
    <w:p>
      <w:pPr>
        <w:spacing w:line="580" w:lineRule="exact"/>
        <w:ind w:firstLine="600" w:firstLineChars="200"/>
        <w:rPr>
          <w:rFonts w:hint="eastAsia"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黑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15、“十三五”期间社会保障发展情况总结评估和“十四五”发展思路研究</w:t>
      </w:r>
    </w:p>
    <w:p>
      <w:pPr>
        <w:spacing w:line="580" w:lineRule="exact"/>
        <w:ind w:firstLine="600" w:firstLineChars="200"/>
        <w:rPr>
          <w:rFonts w:ascii="Times New Roman" w:hAnsi="Times New Roman" w:eastAsia="方正仿宋_GBK" w:cs="方正仿宋_GBK"/>
          <w:sz w:val="30"/>
          <w:szCs w:val="30"/>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总结“十三五”时期我国社会保障制度发展和运行情况，梳理制度发展现状、改革绩效和存在问题。紧紧把握新时代社会主要矛盾变化，立足党的十九大对多层次社保体系建设提出的新要求，围绕基本养老保险、基本医疗保险等关键领域和亟待推进改革的重点、难点问题，进一步理清“十四五”时期我国社会保障深化改革的基本思路，研究提出改革方向和重点改革措施，为“十四五”规划编制和相关改革政策制定、实施，提供有针对性的基础研究支撑。</w:t>
      </w:r>
    </w:p>
    <w:p>
      <w:pPr>
        <w:spacing w:line="580" w:lineRule="exact"/>
        <w:ind w:firstLine="600" w:firstLineChars="200"/>
        <w:rPr>
          <w:rFonts w:hint="eastAsia" w:ascii="Times New Roman" w:hAnsi="Times New Roman" w:eastAsia="方正黑体_GBK" w:cs="Times New Roman"/>
          <w:color w:val="000000" w:themeColor="text1"/>
          <w:sz w:val="30"/>
          <w:szCs w:val="30"/>
        </w:rPr>
      </w:pPr>
    </w:p>
    <w:p>
      <w:pPr>
        <w:spacing w:line="580" w:lineRule="exact"/>
        <w:ind w:firstLine="600" w:firstLineChars="200"/>
        <w:rPr>
          <w:rFonts w:hint="eastAsia" w:ascii="Times New Roman" w:hAnsi="Times New Roman" w:eastAsia="方正黑体_GBK" w:cs="Times New Roman"/>
          <w:color w:val="000000" w:themeColor="text1"/>
          <w:sz w:val="30"/>
          <w:szCs w:val="30"/>
          <w:lang w:eastAsia="zh-CN"/>
        </w:rPr>
      </w:pPr>
      <w:r>
        <w:rPr>
          <w:rFonts w:hint="eastAsia" w:ascii="Times New Roman" w:hAnsi="Times New Roman" w:eastAsia="方正楷体_GBK" w:cs="Times New Roman"/>
          <w:color w:val="000000" w:themeColor="text1"/>
          <w:sz w:val="30"/>
          <w:szCs w:val="30"/>
          <w:lang w:val="en-US" w:eastAsia="zh-CN"/>
        </w:rPr>
        <w:t>16、欧洲主要国家社会保障改革与我国相关政策对比研究</w:t>
      </w:r>
    </w:p>
    <w:p>
      <w:pPr>
        <w:spacing w:line="580" w:lineRule="exact"/>
        <w:ind w:firstLine="600" w:firstLineChars="200"/>
        <w:rPr>
          <w:rFonts w:ascii="Times New Roman" w:hAnsi="Times New Roman" w:eastAsia="方正仿宋_GBK" w:cs="方正仿宋_GBK"/>
          <w:sz w:val="32"/>
          <w:szCs w:val="32"/>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基于公共政策国际比较方法，遴选社会保障制度建设有代表性的欧洲国家，梳理各国社会保障制度发展历程和近期重点改革走向，比较欧洲主要国家制度基本结构特征，特别是在筹资方式、待遇水平、支付方式等关键机制设计的差异。分析各国在应对人口老龄化、提高社会保障可持续发展能力、加强多层次社保体系建设方面的重点改革举措、政策逻辑和实际改革效果，总结基本经验、做法和国际应用可行性，为我国深化社会保障制度改革研提具有前瞻性的政策建议。</w:t>
      </w:r>
    </w:p>
    <w:p>
      <w:pPr>
        <w:spacing w:line="580" w:lineRule="exact"/>
        <w:ind w:firstLine="600" w:firstLineChars="200"/>
        <w:rPr>
          <w:rFonts w:hint="eastAsia" w:ascii="Times New Roman" w:hAnsi="Times New Roman" w:eastAsia="方正黑体_GBK" w:cs="Times New Roman"/>
          <w:color w:val="000000" w:themeColor="text1"/>
          <w:sz w:val="30"/>
          <w:szCs w:val="30"/>
        </w:rPr>
      </w:pPr>
    </w:p>
    <w:p>
      <w:pPr>
        <w:spacing w:line="580" w:lineRule="exact"/>
        <w:ind w:firstLine="600" w:firstLineChars="200"/>
        <w:rPr>
          <w:rFonts w:hint="eastAsia" w:ascii="Times New Roman" w:hAnsi="Times New Roman" w:eastAsia="方正黑体_GBK" w:cs="Times New Roman"/>
          <w:color w:val="000000" w:themeColor="text1"/>
          <w:sz w:val="30"/>
          <w:szCs w:val="30"/>
          <w:lang w:eastAsia="zh-CN"/>
        </w:rPr>
      </w:pPr>
      <w:r>
        <w:rPr>
          <w:rFonts w:hint="eastAsia" w:ascii="Times New Roman" w:hAnsi="Times New Roman" w:eastAsia="方正楷体_GBK" w:cs="Times New Roman"/>
          <w:color w:val="000000" w:themeColor="text1"/>
          <w:sz w:val="30"/>
          <w:szCs w:val="30"/>
          <w:lang w:val="en-US" w:eastAsia="zh-CN"/>
        </w:rPr>
        <w:t>17、面向2035年，我国社会保障发展关键问题分析及制度框架思路</w:t>
      </w:r>
    </w:p>
    <w:p>
      <w:pPr>
        <w:spacing w:line="580" w:lineRule="exact"/>
        <w:ind w:firstLine="600" w:firstLineChars="200"/>
        <w:rPr>
          <w:rFonts w:ascii="Times New Roman" w:hAnsi="Times New Roman" w:eastAsia="方正仿宋_GBK" w:cs="方正仿宋_GBK"/>
          <w:sz w:val="30"/>
          <w:szCs w:val="30"/>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深入贯彻落实党的十九大提出全面建成覆盖全民、城乡统筹、权责清晰、保障适度、可持续的多层次社会保障体系的战略部署，立足</w:t>
      </w:r>
      <w:r>
        <w:rPr>
          <w:rFonts w:ascii="Times New Roman" w:hAnsi="Times New Roman" w:eastAsia="方正仿宋_GBK" w:cs="方正仿宋_GBK"/>
          <w:sz w:val="30"/>
          <w:szCs w:val="30"/>
        </w:rPr>
        <w:t>2035</w:t>
      </w:r>
      <w:r>
        <w:rPr>
          <w:rFonts w:hint="eastAsia" w:ascii="Times New Roman" w:hAnsi="Times New Roman" w:eastAsia="方正仿宋_GBK" w:cs="方正仿宋_GBK"/>
          <w:sz w:val="30"/>
          <w:szCs w:val="30"/>
        </w:rPr>
        <w:t>年基本实现社会主义现代化的基本目标，深入分析兜底保障、基本保险和补充保障等政策存在的突出问题和面临的风险挑战，围绕政策统筹、保障层次衔接、政府权责管理、福利制度转型、照护保障体系建设、舆情应对机制构建等重点问题和关键环节，研究提出进一步完善我国社保体系框架，着力推动社会保障更加公平更可持续发展的政策建议。</w:t>
      </w:r>
    </w:p>
    <w:p>
      <w:pPr>
        <w:spacing w:line="580" w:lineRule="exact"/>
        <w:ind w:firstLine="600" w:firstLineChars="200"/>
        <w:rPr>
          <w:rFonts w:hint="eastAsia" w:ascii="Times New Roman" w:hAnsi="Times New Roman" w:eastAsia="方正黑体_GBK" w:cs="Times New Roman"/>
          <w:color w:val="000000" w:themeColor="text1"/>
          <w:sz w:val="30"/>
          <w:szCs w:val="30"/>
        </w:rPr>
      </w:pPr>
    </w:p>
    <w:p>
      <w:pPr>
        <w:spacing w:line="580" w:lineRule="exact"/>
        <w:ind w:firstLine="600" w:firstLineChars="200"/>
        <w:rPr>
          <w:rFonts w:hint="eastAsia" w:ascii="Times New Roman" w:hAnsi="Times New Roman" w:eastAsia="方正黑体_GBK" w:cs="Times New Roman"/>
          <w:color w:val="000000" w:themeColor="text1"/>
          <w:sz w:val="30"/>
          <w:szCs w:val="30"/>
          <w:lang w:eastAsia="zh-CN"/>
        </w:rPr>
      </w:pPr>
      <w:r>
        <w:rPr>
          <w:rFonts w:hint="eastAsia" w:ascii="Times New Roman" w:hAnsi="Times New Roman" w:eastAsia="方正楷体_GBK" w:cs="Times New Roman"/>
          <w:color w:val="000000" w:themeColor="text1"/>
          <w:sz w:val="30"/>
          <w:szCs w:val="30"/>
          <w:lang w:val="en-US" w:eastAsia="zh-CN"/>
        </w:rPr>
        <w:t>18、多层次社会保障体系下 支持鼓励补充保障发展行动方案重点问题研究</w:t>
      </w:r>
    </w:p>
    <w:p>
      <w:pPr>
        <w:spacing w:line="580" w:lineRule="exact"/>
        <w:ind w:firstLine="600" w:firstLineChars="200"/>
        <w:rPr>
          <w:rFonts w:ascii="Times New Roman" w:hAnsi="Times New Roman" w:eastAsia="方正仿宋_GBK" w:cs="方正仿宋_GBK"/>
          <w:sz w:val="30"/>
          <w:szCs w:val="30"/>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以养老、医疗保障为重点，深入分析补充保障制度关键机制设计方面存在的问题，梳理主要国家推动多层次保障体系成熟发展的做法和可借鉴经验。以补充保障制度扩面提质为目标，立足未来</w:t>
      </w:r>
      <w:r>
        <w:rPr>
          <w:rFonts w:ascii="Times New Roman" w:hAnsi="Times New Roman" w:eastAsia="方正仿宋_GBK" w:cs="方正仿宋_GBK"/>
          <w:sz w:val="30"/>
          <w:szCs w:val="30"/>
        </w:rPr>
        <w:t>3—5</w:t>
      </w:r>
      <w:r>
        <w:rPr>
          <w:rFonts w:hint="eastAsia" w:ascii="Times New Roman" w:hAnsi="Times New Roman" w:eastAsia="方正仿宋_GBK" w:cs="方正仿宋_GBK"/>
          <w:sz w:val="30"/>
          <w:szCs w:val="30"/>
        </w:rPr>
        <w:t>年在基本制度设计、参保缴费、税收优惠、委托治理、运营监管、投资管理等方面的主要政策着力点，研究提出支持和鼓励补充保障发展的具体措施和务实可操作的行动方案。</w:t>
      </w:r>
    </w:p>
    <w:p>
      <w:pPr>
        <w:shd w:val="clear"/>
        <w:spacing w:line="580" w:lineRule="exact"/>
        <w:ind w:firstLine="600" w:firstLineChars="200"/>
        <w:rPr>
          <w:rFonts w:hint="eastAsia" w:ascii="Times New Roman" w:hAnsi="Times New Roman" w:eastAsia="方正黑体_GBK" w:cs="Times New Roman"/>
          <w:color w:val="000000" w:themeColor="text1"/>
          <w:sz w:val="30"/>
          <w:szCs w:val="30"/>
          <w:highlight w:val="none"/>
        </w:rPr>
      </w:pPr>
    </w:p>
    <w:p>
      <w:pPr>
        <w:shd w:val="clear"/>
        <w:spacing w:line="580" w:lineRule="exact"/>
        <w:ind w:firstLine="600" w:firstLineChars="200"/>
        <w:rPr>
          <w:rFonts w:hint="eastAsia" w:ascii="Times New Roman" w:hAnsi="Times New Roman" w:eastAsia="方正黑体_GBK" w:cs="Times New Roman"/>
          <w:color w:val="000000" w:themeColor="text1"/>
          <w:sz w:val="30"/>
          <w:szCs w:val="30"/>
          <w:highlight w:val="none"/>
        </w:rPr>
      </w:pPr>
      <w:r>
        <w:rPr>
          <w:rFonts w:hint="eastAsia" w:ascii="Times New Roman" w:hAnsi="Times New Roman" w:eastAsia="方正楷体_GBK" w:cs="Times New Roman"/>
          <w:color w:val="000000" w:themeColor="text1"/>
          <w:sz w:val="30"/>
          <w:szCs w:val="30"/>
          <w:lang w:val="en-US" w:eastAsia="zh-CN"/>
        </w:rPr>
        <w:t>19、社会保障制度“保基本”的关键问题和重点指标研究</w:t>
      </w:r>
    </w:p>
    <w:p>
      <w:pPr>
        <w:spacing w:line="580" w:lineRule="exact"/>
        <w:ind w:firstLine="600" w:firstLineChars="200"/>
        <w:rPr>
          <w:rFonts w:ascii="Times New Roman" w:hAnsi="Times New Roman" w:eastAsia="方正仿宋_GBK" w:cs="方正仿宋_GBK"/>
          <w:sz w:val="32"/>
          <w:szCs w:val="32"/>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围绕社会救助、基本养老保障、基本医疗保障等重点政策，基于制度功能、保障边界、主体权责、政策衔接等视角，研究主要保障制度如何在更好保障和改善民生同时，做到积极而为，量力而行，采用国际比较、财力可持续性等方式，提出“保基本”相关重点指标建议。</w:t>
      </w:r>
    </w:p>
    <w:p>
      <w:pPr>
        <w:spacing w:line="580" w:lineRule="exact"/>
        <w:ind w:firstLine="600" w:firstLineChars="200"/>
        <w:rPr>
          <w:rFonts w:hint="eastAsia" w:ascii="Times New Roman" w:hAnsi="Times New Roman" w:eastAsia="方正黑体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20、我国民营中小微制造业社保缴费水平和负担情况分析</w:t>
      </w:r>
    </w:p>
    <w:p>
      <w:pPr>
        <w:spacing w:line="580" w:lineRule="exact"/>
        <w:ind w:firstLine="600" w:firstLineChars="200"/>
        <w:rPr>
          <w:rFonts w:ascii="Times New Roman" w:hAnsi="Times New Roman" w:eastAsia="方正仿宋_GBK" w:cs="方正仿宋_GBK"/>
          <w:sz w:val="32"/>
          <w:szCs w:val="32"/>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采用数据分析、实地调研等方式，分地区、企业规模、行业类型，对我国民营中小微制造企业真实社保缴费水平和负担情况进行研究。重点关注，民营中小微制造企业社保缴费现状，以及社保降费和征缴体制改革后，其缴费水平和负担变动情况。研究提出，统筹考虑经济社会发展，企业负担水平和公平性，社保基金收支平衡等各方因素的务实、可操作政策建议。</w:t>
      </w: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21、中欧社会保障合作和政策对话要点研究</w:t>
      </w:r>
    </w:p>
    <w:p>
      <w:pPr>
        <w:spacing w:line="580" w:lineRule="exact"/>
        <w:ind w:firstLine="600" w:firstLineChars="200"/>
        <w:rPr>
          <w:rFonts w:hint="eastAsia" w:ascii="Times New Roman" w:hAnsi="Times New Roman" w:eastAsia="方正仿宋_GBK" w:cs="方正仿宋_GBK"/>
          <w:sz w:val="30"/>
          <w:szCs w:val="30"/>
        </w:rPr>
      </w:pPr>
      <w:r>
        <w:rPr>
          <w:rFonts w:hint="eastAsia" w:ascii="方正楷体_GBK" w:hAnsi="Times New Roman" w:eastAsia="方正楷体_GBK" w:cs="方正仿宋_GBK"/>
          <w:sz w:val="30"/>
          <w:szCs w:val="30"/>
        </w:rPr>
        <w:t>研究要点：</w:t>
      </w:r>
      <w:r>
        <w:rPr>
          <w:rFonts w:hint="eastAsia" w:ascii="Times New Roman" w:hAnsi="Times New Roman" w:eastAsia="方正仿宋_GBK" w:cs="方正仿宋_GBK"/>
          <w:sz w:val="30"/>
          <w:szCs w:val="30"/>
        </w:rPr>
        <w:t>结合中欧社会保障合作总体安排，对年度合作相关主题的背景情况、政策对话要点等进行研究，梳理形成相关背景材料、对话思路材料、对话成果报告和相关宣传报道材料等。</w:t>
      </w:r>
    </w:p>
    <w:p>
      <w:pPr>
        <w:spacing w:line="580" w:lineRule="exact"/>
        <w:ind w:firstLine="600" w:firstLineChars="200"/>
        <w:rPr>
          <w:rFonts w:ascii="Times New Roman" w:hAnsi="Times New Roman" w:eastAsia="方正仿宋_GBK" w:cs="Times New Roman"/>
          <w:color w:val="000000" w:themeColor="text1"/>
          <w:sz w:val="30"/>
          <w:szCs w:val="30"/>
        </w:rPr>
      </w:pPr>
    </w:p>
    <w:p>
      <w:pPr>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22、就业及社会保障服务管理体系国际比较和借鉴研究</w:t>
      </w:r>
    </w:p>
    <w:p>
      <w:pPr>
        <w:snapToGrid w:val="0"/>
        <w:spacing w:line="580" w:lineRule="exact"/>
        <w:ind w:firstLine="600" w:firstLineChars="200"/>
        <w:rPr>
          <w:rFonts w:hint="eastAsia" w:ascii="Times New Roman" w:hAnsi="Times New Roman" w:eastAsia="方正仿宋_GBK" w:cs="Times New Roman"/>
          <w:color w:val="000000"/>
          <w:sz w:val="30"/>
          <w:szCs w:val="30"/>
        </w:rPr>
      </w:pPr>
      <w:r>
        <w:rPr>
          <w:rFonts w:hint="eastAsia" w:ascii="Times New Roman" w:hAnsi="Times New Roman" w:eastAsia="方正楷体_GBK" w:cs="Times New Roman"/>
          <w:sz w:val="30"/>
          <w:szCs w:val="30"/>
        </w:rPr>
        <w:t>研究要点：</w:t>
      </w:r>
      <w:r>
        <w:rPr>
          <w:rFonts w:ascii="Calibri" w:hAnsi="Calibri" w:eastAsia="方正仿宋_GBK" w:cs="Times New Roman"/>
          <w:sz w:val="30"/>
          <w:szCs w:val="30"/>
        </w:rPr>
        <w:t>贯彻落实党的十九大</w:t>
      </w:r>
      <w:r>
        <w:rPr>
          <w:rFonts w:hint="eastAsia" w:ascii="Calibri" w:hAnsi="Calibri" w:eastAsia="方正仿宋_GBK" w:cs="Times New Roman"/>
          <w:sz w:val="30"/>
          <w:szCs w:val="30"/>
        </w:rPr>
        <w:t>关于</w:t>
      </w:r>
      <w:r>
        <w:rPr>
          <w:rFonts w:hint="eastAsia" w:ascii="Calibri" w:hAnsi="Calibri" w:eastAsia="方正仿宋_GBK" w:cs="Times New Roman"/>
          <w:sz w:val="30"/>
          <w:szCs w:val="30"/>
          <w:lang w:eastAsia="zh-CN"/>
        </w:rPr>
        <w:t>坚持就业优先和积极就业政策</w:t>
      </w:r>
      <w:r>
        <w:rPr>
          <w:rFonts w:ascii="Calibri" w:hAnsi="Calibri" w:eastAsia="方正仿宋_GBK" w:cs="Times New Roman"/>
          <w:sz w:val="30"/>
          <w:szCs w:val="30"/>
        </w:rPr>
        <w:t>，</w:t>
      </w:r>
      <w:r>
        <w:rPr>
          <w:rFonts w:hint="eastAsia" w:ascii="Calibri" w:hAnsi="Calibri" w:eastAsia="方正仿宋_GBK" w:cs="Times New Roman"/>
          <w:sz w:val="30"/>
          <w:szCs w:val="30"/>
          <w:lang w:eastAsia="zh-CN"/>
        </w:rPr>
        <w:t>不断加强社会保障体系建设</w:t>
      </w:r>
      <w:r>
        <w:rPr>
          <w:rFonts w:hint="eastAsia" w:ascii="Calibri" w:hAnsi="Calibri" w:eastAsia="方正仿宋_GBK" w:cs="Times New Roman"/>
          <w:sz w:val="30"/>
          <w:szCs w:val="30"/>
        </w:rPr>
        <w:t>战略部署</w:t>
      </w:r>
      <w:r>
        <w:rPr>
          <w:rFonts w:hint="eastAsia" w:ascii="Calibri" w:hAnsi="Calibri" w:eastAsia="方正仿宋_GBK" w:cs="Times New Roman"/>
          <w:sz w:val="30"/>
          <w:szCs w:val="30"/>
          <w:lang w:eastAsia="zh-CN"/>
        </w:rPr>
        <w:t>，</w:t>
      </w:r>
      <w:r>
        <w:rPr>
          <w:rFonts w:hint="eastAsia" w:ascii="Times New Roman" w:hAnsi="Times New Roman" w:eastAsia="方正仿宋_GBK" w:cs="Times New Roman"/>
          <w:color w:val="000000"/>
          <w:sz w:val="30"/>
          <w:szCs w:val="30"/>
        </w:rPr>
        <w:t>深入分析</w:t>
      </w:r>
      <w:r>
        <w:rPr>
          <w:rFonts w:ascii="Times New Roman" w:hAnsi="Times New Roman" w:eastAsia="方正仿宋_GBK" w:cs="Times New Roman"/>
          <w:color w:val="000000"/>
          <w:sz w:val="30"/>
          <w:szCs w:val="30"/>
        </w:rPr>
        <w:t>当前我国</w:t>
      </w:r>
      <w:r>
        <w:rPr>
          <w:rFonts w:hint="eastAsia" w:ascii="Times New Roman" w:hAnsi="Times New Roman" w:eastAsia="方正仿宋_GBK" w:cs="Times New Roman"/>
          <w:color w:val="000000"/>
          <w:sz w:val="30"/>
          <w:szCs w:val="30"/>
          <w:lang w:eastAsia="zh-CN"/>
        </w:rPr>
        <w:t>就业及社会保障服务管理</w:t>
      </w:r>
      <w:r>
        <w:rPr>
          <w:rFonts w:hint="eastAsia" w:ascii="Times New Roman" w:hAnsi="Times New Roman" w:eastAsia="方正仿宋_GBK" w:cs="Times New Roman"/>
          <w:color w:val="000000"/>
          <w:sz w:val="30"/>
          <w:szCs w:val="30"/>
        </w:rPr>
        <w:t>体系</w:t>
      </w:r>
      <w:r>
        <w:rPr>
          <w:rFonts w:ascii="Times New Roman" w:hAnsi="Times New Roman" w:eastAsia="方正仿宋_GBK" w:cs="Times New Roman"/>
          <w:color w:val="000000"/>
          <w:sz w:val="30"/>
          <w:szCs w:val="30"/>
        </w:rPr>
        <w:t>现状及存在的主要问题</w:t>
      </w:r>
      <w:r>
        <w:rPr>
          <w:rFonts w:hint="eastAsia" w:ascii="Times New Roman" w:hAnsi="Times New Roman" w:eastAsia="方正仿宋_GBK" w:cs="Times New Roman"/>
          <w:color w:val="000000"/>
          <w:sz w:val="30"/>
          <w:szCs w:val="30"/>
        </w:rPr>
        <w:t>。</w:t>
      </w:r>
      <w:r>
        <w:rPr>
          <w:rFonts w:hint="eastAsia" w:eastAsia="方正仿宋_GBK"/>
          <w:sz w:val="30"/>
          <w:szCs w:val="30"/>
        </w:rPr>
        <w:t>系统研究</w:t>
      </w:r>
      <w:r>
        <w:rPr>
          <w:rFonts w:hint="eastAsia" w:ascii="Times New Roman" w:hAnsi="Times New Roman" w:eastAsia="方正仿宋_GBK" w:cs="Times New Roman"/>
          <w:color w:val="000000"/>
          <w:sz w:val="30"/>
          <w:szCs w:val="30"/>
        </w:rPr>
        <w:t>国际上</w:t>
      </w:r>
      <w:r>
        <w:rPr>
          <w:rFonts w:hint="eastAsia" w:ascii="Times New Roman" w:hAnsi="Times New Roman" w:eastAsia="方正仿宋_GBK" w:cs="Times New Roman"/>
          <w:color w:val="000000"/>
          <w:sz w:val="30"/>
          <w:szCs w:val="30"/>
          <w:lang w:eastAsia="zh-CN"/>
        </w:rPr>
        <w:t>就业及社会保障服务管理</w:t>
      </w:r>
      <w:r>
        <w:rPr>
          <w:rFonts w:hint="eastAsia" w:ascii="Times New Roman" w:hAnsi="Times New Roman" w:eastAsia="方正仿宋_GBK" w:cs="Times New Roman"/>
          <w:color w:val="000000"/>
          <w:sz w:val="30"/>
          <w:szCs w:val="30"/>
        </w:rPr>
        <w:t>体系</w:t>
      </w:r>
      <w:r>
        <w:rPr>
          <w:rFonts w:hint="eastAsia" w:ascii="Times New Roman" w:hAnsi="Times New Roman" w:eastAsia="方正仿宋_GBK" w:cs="Times New Roman"/>
          <w:color w:val="000000"/>
          <w:sz w:val="30"/>
          <w:szCs w:val="30"/>
          <w:lang w:eastAsia="zh-CN"/>
        </w:rPr>
        <w:t>建设</w:t>
      </w:r>
      <w:r>
        <w:rPr>
          <w:rFonts w:hint="eastAsia" w:ascii="Times New Roman" w:hAnsi="Times New Roman" w:eastAsia="方正仿宋_GBK" w:cs="Times New Roman"/>
          <w:color w:val="000000"/>
          <w:sz w:val="30"/>
          <w:szCs w:val="30"/>
        </w:rPr>
        <w:t>成功的经验和</w:t>
      </w:r>
      <w:r>
        <w:rPr>
          <w:rFonts w:ascii="Times New Roman" w:hAnsi="Times New Roman" w:eastAsia="方正仿宋_GBK" w:cs="Times New Roman"/>
          <w:color w:val="000000"/>
          <w:sz w:val="30"/>
          <w:szCs w:val="30"/>
        </w:rPr>
        <w:t>做法</w:t>
      </w:r>
      <w:r>
        <w:rPr>
          <w:rFonts w:hint="eastAsia" w:ascii="Times New Roman" w:hAnsi="Times New Roman" w:eastAsia="方正仿宋_GBK" w:cs="Times New Roman"/>
          <w:color w:val="000000"/>
          <w:sz w:val="30"/>
          <w:szCs w:val="30"/>
        </w:rPr>
        <w:t>，对比和总结可借鉴的经验，研究提出</w:t>
      </w:r>
      <w:r>
        <w:rPr>
          <w:rFonts w:ascii="Times New Roman" w:hAnsi="Times New Roman" w:eastAsia="方正仿宋_GBK" w:cs="Times New Roman"/>
          <w:color w:val="000000"/>
          <w:sz w:val="30"/>
          <w:szCs w:val="30"/>
        </w:rPr>
        <w:t>进一步提高我国</w:t>
      </w:r>
      <w:r>
        <w:rPr>
          <w:rFonts w:hint="eastAsia" w:ascii="Times New Roman" w:hAnsi="Times New Roman" w:eastAsia="方正仿宋_GBK" w:cs="Times New Roman"/>
          <w:color w:val="000000"/>
          <w:sz w:val="30"/>
          <w:szCs w:val="30"/>
          <w:lang w:eastAsia="zh-CN"/>
        </w:rPr>
        <w:t>就业和社会保障</w:t>
      </w:r>
      <w:r>
        <w:rPr>
          <w:rFonts w:hint="eastAsia" w:ascii="Times New Roman" w:hAnsi="Times New Roman" w:eastAsia="方正仿宋_GBK" w:cs="Times New Roman"/>
          <w:color w:val="000000"/>
          <w:sz w:val="30"/>
          <w:szCs w:val="30"/>
        </w:rPr>
        <w:t>能力建设</w:t>
      </w:r>
      <w:r>
        <w:rPr>
          <w:rFonts w:ascii="Times New Roman" w:hAnsi="Times New Roman" w:eastAsia="方正仿宋_GBK" w:cs="Times New Roman"/>
          <w:color w:val="000000"/>
          <w:sz w:val="30"/>
          <w:szCs w:val="30"/>
        </w:rPr>
        <w:t>的</w:t>
      </w:r>
      <w:r>
        <w:rPr>
          <w:rFonts w:hint="eastAsia" w:ascii="Times New Roman" w:hAnsi="Times New Roman" w:eastAsia="方正仿宋_GBK" w:cs="Times New Roman"/>
          <w:color w:val="000000"/>
          <w:sz w:val="30"/>
          <w:szCs w:val="30"/>
        </w:rPr>
        <w:t>对策</w:t>
      </w:r>
      <w:r>
        <w:rPr>
          <w:rFonts w:ascii="Times New Roman" w:hAnsi="Times New Roman" w:eastAsia="方正仿宋_GBK" w:cs="Times New Roman"/>
          <w:color w:val="000000"/>
          <w:sz w:val="30"/>
          <w:szCs w:val="30"/>
        </w:rPr>
        <w:t>建议</w:t>
      </w:r>
      <w:r>
        <w:rPr>
          <w:rFonts w:hint="eastAsia" w:ascii="Times New Roman" w:hAnsi="Times New Roman" w:eastAsia="方正仿宋_GBK" w:cs="Times New Roman"/>
          <w:color w:val="000000"/>
          <w:sz w:val="30"/>
          <w:szCs w:val="30"/>
        </w:rPr>
        <w:t>。</w:t>
      </w:r>
    </w:p>
    <w:p>
      <w:pPr>
        <w:snapToGrid w:val="0"/>
        <w:spacing w:line="580" w:lineRule="exact"/>
        <w:ind w:firstLine="600" w:firstLineChars="200"/>
        <w:rPr>
          <w:rFonts w:hint="eastAsia" w:ascii="Times New Roman" w:hAnsi="Times New Roman" w:eastAsia="方正仿宋_GBK" w:cs="Times New Roman"/>
          <w:color w:val="000000"/>
          <w:sz w:val="30"/>
          <w:szCs w:val="30"/>
        </w:rPr>
      </w:pPr>
    </w:p>
    <w:p>
      <w:pPr>
        <w:snapToGrid w:val="0"/>
        <w:spacing w:line="580" w:lineRule="exact"/>
        <w:ind w:firstLine="600" w:firstLineChars="200"/>
        <w:rPr>
          <w:rFonts w:hint="eastAsia" w:ascii="Times New Roman" w:hAnsi="Times New Roman" w:eastAsia="方正楷体_GBK" w:cs="Times New Roman"/>
          <w:color w:val="000000" w:themeColor="text1"/>
          <w:sz w:val="30"/>
          <w:szCs w:val="30"/>
          <w:lang w:val="en-US" w:eastAsia="zh-CN"/>
        </w:rPr>
      </w:pPr>
      <w:r>
        <w:rPr>
          <w:rFonts w:hint="eastAsia" w:ascii="Times New Roman" w:hAnsi="Times New Roman" w:eastAsia="方正楷体_GBK" w:cs="Times New Roman"/>
          <w:color w:val="000000" w:themeColor="text1"/>
          <w:sz w:val="30"/>
          <w:szCs w:val="30"/>
          <w:lang w:val="en-US" w:eastAsia="zh-CN"/>
        </w:rPr>
        <w:t>23、公共职业技能培训共建共享研究</w:t>
      </w:r>
    </w:p>
    <w:p>
      <w:pPr>
        <w:spacing w:line="580" w:lineRule="exact"/>
        <w:ind w:firstLine="640" w:firstLineChars="200"/>
        <w:rPr>
          <w:rFonts w:ascii="Times New Roman" w:hAnsi="Times New Roman" w:eastAsia="方正仿宋_GBK" w:cs="Times New Roman"/>
          <w:color w:val="000000"/>
          <w:sz w:val="30"/>
          <w:szCs w:val="30"/>
        </w:rPr>
      </w:pPr>
      <w:r>
        <w:rPr>
          <w:rFonts w:hint="eastAsia" w:ascii="方正楷体_GBK" w:hAnsi="Times New Roman" w:eastAsia="方正楷体_GBK" w:cs="方正仿宋_GBK"/>
          <w:sz w:val="32"/>
          <w:szCs w:val="32"/>
        </w:rPr>
        <w:t>研究要点：</w:t>
      </w:r>
      <w:r>
        <w:rPr>
          <w:rFonts w:hint="eastAsia" w:ascii="Times New Roman" w:hAnsi="Times New Roman" w:eastAsia="方正仿宋_GBK" w:cs="Times New Roman"/>
          <w:color w:val="000000"/>
          <w:sz w:val="30"/>
          <w:szCs w:val="30"/>
        </w:rPr>
        <w:t>根据</w:t>
      </w:r>
      <w:r>
        <w:rPr>
          <w:rFonts w:ascii="Times New Roman" w:hAnsi="Times New Roman" w:eastAsia="方正仿宋_GBK" w:cs="Times New Roman"/>
          <w:color w:val="000000"/>
          <w:sz w:val="30"/>
          <w:szCs w:val="30"/>
        </w:rPr>
        <w:t>《国务院关于推行终身职业技能培训制度的意见》（国发〔2018〕11号）</w:t>
      </w:r>
      <w:r>
        <w:rPr>
          <w:rFonts w:hint="eastAsia" w:ascii="Times New Roman" w:hAnsi="Times New Roman" w:eastAsia="方正仿宋_GBK" w:cs="Times New Roman"/>
          <w:color w:val="000000"/>
          <w:sz w:val="30"/>
          <w:szCs w:val="30"/>
        </w:rPr>
        <w:t>部署要求，为了进一步</w:t>
      </w:r>
      <w:r>
        <w:rPr>
          <w:rFonts w:ascii="Times New Roman" w:hAnsi="Times New Roman" w:eastAsia="方正仿宋_GBK" w:cs="Times New Roman"/>
          <w:color w:val="000000"/>
          <w:sz w:val="30"/>
          <w:szCs w:val="30"/>
        </w:rPr>
        <w:t>加强职业技能培训与就业衔接，</w:t>
      </w:r>
      <w:r>
        <w:rPr>
          <w:rFonts w:hint="eastAsia" w:ascii="Times New Roman" w:hAnsi="Times New Roman" w:eastAsia="方正仿宋_GBK" w:cs="Times New Roman"/>
          <w:color w:val="000000"/>
          <w:sz w:val="30"/>
          <w:szCs w:val="30"/>
        </w:rPr>
        <w:t>在</w:t>
      </w:r>
      <w:r>
        <w:rPr>
          <w:rFonts w:ascii="Times New Roman" w:hAnsi="Times New Roman" w:eastAsia="方正仿宋_GBK" w:cs="Times New Roman"/>
          <w:color w:val="000000"/>
          <w:sz w:val="30"/>
          <w:szCs w:val="30"/>
        </w:rPr>
        <w:t>公共职业技能培训基础平台</w:t>
      </w:r>
      <w:r>
        <w:rPr>
          <w:rFonts w:hint="eastAsia" w:ascii="Times New Roman" w:hAnsi="Times New Roman" w:eastAsia="方正仿宋_GBK" w:cs="Times New Roman"/>
          <w:color w:val="000000"/>
          <w:sz w:val="30"/>
          <w:szCs w:val="30"/>
        </w:rPr>
        <w:t>建设的基础</w:t>
      </w:r>
      <w:r>
        <w:rPr>
          <w:rFonts w:ascii="Times New Roman" w:hAnsi="Times New Roman" w:eastAsia="方正仿宋_GBK" w:cs="Times New Roman"/>
          <w:color w:val="000000"/>
          <w:sz w:val="30"/>
          <w:szCs w:val="30"/>
        </w:rPr>
        <w:t>上</w:t>
      </w:r>
      <w:r>
        <w:rPr>
          <w:rFonts w:hint="eastAsia" w:ascii="Times New Roman" w:hAnsi="Times New Roman" w:eastAsia="方正仿宋_GBK" w:cs="Times New Roman"/>
          <w:color w:val="000000"/>
          <w:sz w:val="30"/>
          <w:szCs w:val="30"/>
        </w:rPr>
        <w:t>，探索</w:t>
      </w:r>
      <w:r>
        <w:rPr>
          <w:rFonts w:ascii="Times New Roman" w:hAnsi="Times New Roman" w:eastAsia="方正仿宋_GBK" w:cs="Times New Roman"/>
          <w:color w:val="000000"/>
          <w:sz w:val="30"/>
          <w:szCs w:val="30"/>
        </w:rPr>
        <w:t>通过信息化建设推动</w:t>
      </w:r>
      <w:r>
        <w:rPr>
          <w:rFonts w:hint="eastAsia" w:ascii="Times New Roman" w:hAnsi="Times New Roman" w:eastAsia="方正仿宋_GBK" w:cs="Times New Roman"/>
          <w:color w:val="000000"/>
          <w:sz w:val="30"/>
          <w:szCs w:val="30"/>
        </w:rPr>
        <w:t>培训内容、培训方式、就业信息等方面的共建共享</w:t>
      </w:r>
      <w:r>
        <w:rPr>
          <w:rFonts w:ascii="Times New Roman" w:hAnsi="Times New Roman" w:eastAsia="方正仿宋_GBK" w:cs="Times New Roman"/>
          <w:color w:val="000000"/>
          <w:sz w:val="30"/>
          <w:szCs w:val="30"/>
        </w:rPr>
        <w:t>，为劳动者提供统一高效的人力资源社会保障公共服务</w:t>
      </w:r>
      <w:r>
        <w:rPr>
          <w:rFonts w:hint="eastAsia" w:ascii="Times New Roman" w:hAnsi="Times New Roman" w:eastAsia="方正仿宋_GBK" w:cs="Times New Roman"/>
          <w:color w:val="000000"/>
          <w:sz w:val="30"/>
          <w:szCs w:val="30"/>
        </w:rPr>
        <w:t>，为进一步提高公共职业技能培训的范围和效率提供政策研究支撑</w:t>
      </w:r>
      <w:r>
        <w:rPr>
          <w:rFonts w:ascii="Times New Roman" w:hAnsi="Times New Roman" w:eastAsia="方正仿宋_GBK" w:cs="Times New Roman"/>
          <w:color w:val="000000"/>
          <w:sz w:val="30"/>
          <w:szCs w:val="30"/>
        </w:rPr>
        <w:t>。</w:t>
      </w:r>
    </w:p>
    <w:p>
      <w:pPr>
        <w:widowControl/>
        <w:spacing w:line="580" w:lineRule="exact"/>
        <w:ind w:firstLine="600" w:firstLineChars="200"/>
        <w:jc w:val="left"/>
        <w:rPr>
          <w:rFonts w:ascii="Times New Roman" w:hAnsi="Times New Roman" w:eastAsia="方正仿宋_GBK" w:cs="Times New Roman"/>
          <w:color w:val="000000" w:themeColor="text1"/>
          <w:sz w:val="30"/>
          <w:szCs w:val="30"/>
        </w:rPr>
      </w:pPr>
    </w:p>
    <w:p>
      <w:pPr>
        <w:widowControl/>
        <w:spacing w:line="580" w:lineRule="exact"/>
        <w:jc w:val="left"/>
        <w:rPr>
          <w:rFonts w:ascii="宋体" w:hAnsi="宋体" w:eastAsia="宋体" w:cs="宋体"/>
          <w:color w:val="000000"/>
          <w:kern w:val="0"/>
          <w:sz w:val="22"/>
        </w:rPr>
      </w:pPr>
    </w:p>
    <w:p>
      <w:pPr>
        <w:spacing w:line="580" w:lineRule="exact"/>
        <w:ind w:firstLine="420" w:firstLineChars="200"/>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6526735"/>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52A6"/>
    <w:rsid w:val="000943C1"/>
    <w:rsid w:val="00126054"/>
    <w:rsid w:val="0014354F"/>
    <w:rsid w:val="001539E9"/>
    <w:rsid w:val="00166DF6"/>
    <w:rsid w:val="0020314F"/>
    <w:rsid w:val="002529E6"/>
    <w:rsid w:val="002F4CF1"/>
    <w:rsid w:val="00350265"/>
    <w:rsid w:val="00367F8F"/>
    <w:rsid w:val="003831BE"/>
    <w:rsid w:val="0042796A"/>
    <w:rsid w:val="00437201"/>
    <w:rsid w:val="00440359"/>
    <w:rsid w:val="00463A0A"/>
    <w:rsid w:val="004A1D65"/>
    <w:rsid w:val="00561A0A"/>
    <w:rsid w:val="005624C7"/>
    <w:rsid w:val="00576AA8"/>
    <w:rsid w:val="005A472A"/>
    <w:rsid w:val="005F761C"/>
    <w:rsid w:val="0063384D"/>
    <w:rsid w:val="00640A21"/>
    <w:rsid w:val="0065133C"/>
    <w:rsid w:val="006C3B1D"/>
    <w:rsid w:val="00735826"/>
    <w:rsid w:val="007610D9"/>
    <w:rsid w:val="00796110"/>
    <w:rsid w:val="007E3280"/>
    <w:rsid w:val="007E4F17"/>
    <w:rsid w:val="007F41A0"/>
    <w:rsid w:val="0083574B"/>
    <w:rsid w:val="0084666F"/>
    <w:rsid w:val="00872AD1"/>
    <w:rsid w:val="00897D41"/>
    <w:rsid w:val="008B3399"/>
    <w:rsid w:val="009061A9"/>
    <w:rsid w:val="009473D4"/>
    <w:rsid w:val="009C39B7"/>
    <w:rsid w:val="009D1703"/>
    <w:rsid w:val="00A57730"/>
    <w:rsid w:val="00A631BA"/>
    <w:rsid w:val="00A752A6"/>
    <w:rsid w:val="00BA6F88"/>
    <w:rsid w:val="00BE2B63"/>
    <w:rsid w:val="00BE6599"/>
    <w:rsid w:val="00CB5765"/>
    <w:rsid w:val="00CB5B3D"/>
    <w:rsid w:val="00EF7DAD"/>
    <w:rsid w:val="00F1043A"/>
    <w:rsid w:val="00F2376C"/>
    <w:rsid w:val="00F96E2C"/>
    <w:rsid w:val="00FB1B4E"/>
    <w:rsid w:val="00FE41D7"/>
    <w:rsid w:val="2A3B454D"/>
    <w:rsid w:val="93BE8824"/>
    <w:rsid w:val="9DB784A1"/>
    <w:rsid w:val="AEDBEDBD"/>
    <w:rsid w:val="B7FEA6A4"/>
    <w:rsid w:val="BF9F2A1C"/>
    <w:rsid w:val="FEE7A94D"/>
    <w:rsid w:val="FF27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743</Words>
  <Characters>4241</Characters>
  <Lines>35</Lines>
  <Paragraphs>9</Paragraphs>
  <TotalTime>9</TotalTime>
  <ScaleCrop>false</ScaleCrop>
  <LinksUpToDate>false</LinksUpToDate>
  <CharactersWithSpaces>4975</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2019-04-12T18:00:00Z</dcterms:created>
  <dc:creator>张霞</dc:creator>
  <cp:lastModifiedBy>张霞</cp:lastModifiedBy>
  <cp:lastPrinted>2019-04-29T19:07:00Z</cp:lastPrinted>
  <dcterms:modified xsi:type="dcterms:W3CDTF">2019-04-29T16:40:37Z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