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52"/>
          <w:szCs w:val="52"/>
        </w:rPr>
      </w:pPr>
    </w:p>
    <w:p>
      <w:pPr>
        <w:autoSpaceDE w:val="0"/>
        <w:autoSpaceDN w:val="0"/>
        <w:adjustRightInd w:val="0"/>
        <w:rPr>
          <w:rFonts w:ascii="Times New Roman" w:hAnsi="Times New Roman" w:eastAsia="黑体" w:cs="Times New Roman"/>
          <w:kern w:val="0"/>
          <w:sz w:val="52"/>
          <w:szCs w:val="52"/>
        </w:rPr>
      </w:pPr>
    </w:p>
    <w:p>
      <w:pPr>
        <w:pStyle w:val="26"/>
        <w:spacing w:before="190" w:beforeLines="50" w:after="190" w:afterLines="50" w:line="240" w:lineRule="auto"/>
        <w:rPr>
          <w:rFonts w:ascii="Times New Roman" w:hAnsi="Times New Roman" w:eastAsia="方正小标宋简体"/>
          <w:kern w:val="2"/>
          <w:sz w:val="52"/>
          <w:szCs w:val="52"/>
        </w:rPr>
      </w:pPr>
      <w:r>
        <w:rPr>
          <w:rFonts w:ascii="Times New Roman" w:hAnsi="Times New Roman" w:eastAsia="方正小标宋简体"/>
          <w:kern w:val="2"/>
          <w:sz w:val="52"/>
          <w:szCs w:val="52"/>
        </w:rPr>
        <w:t>淡水养殖行业清洁生产评价指标体系</w:t>
      </w:r>
    </w:p>
    <w:p>
      <w:pPr>
        <w:pStyle w:val="26"/>
        <w:spacing w:before="190" w:beforeLines="50" w:after="190" w:afterLines="50" w:line="240" w:lineRule="auto"/>
        <w:rPr>
          <w:rFonts w:ascii="Times New Roman" w:hAnsi="Times New Roman" w:eastAsia="方正小标宋简体"/>
          <w:kern w:val="2"/>
          <w:sz w:val="52"/>
          <w:szCs w:val="52"/>
        </w:rPr>
      </w:pPr>
      <w:r>
        <w:rPr>
          <w:rFonts w:ascii="Times New Roman" w:hAnsi="Times New Roman" w:eastAsia="方正小标宋简体"/>
          <w:kern w:val="2"/>
          <w:sz w:val="52"/>
          <w:szCs w:val="52"/>
        </w:rPr>
        <w:t>（征求意见稿）</w:t>
      </w:r>
    </w:p>
    <w:p>
      <w:pPr>
        <w:autoSpaceDE w:val="0"/>
        <w:autoSpaceDN w:val="0"/>
        <w:adjustRightInd w:val="0"/>
        <w:jc w:val="left"/>
        <w:rPr>
          <w:rFonts w:ascii="Times New Roman" w:hAnsi="Times New Roman" w:eastAsia="黑体" w:cs="Times New Roman"/>
          <w:kern w:val="0"/>
          <w:sz w:val="32"/>
          <w:szCs w:val="32"/>
        </w:rPr>
      </w:pPr>
    </w:p>
    <w:p>
      <w:pPr>
        <w:autoSpaceDE w:val="0"/>
        <w:autoSpaceDN w:val="0"/>
        <w:adjustRightInd w:val="0"/>
        <w:jc w:val="left"/>
        <w:rPr>
          <w:rFonts w:ascii="Times New Roman" w:hAnsi="Times New Roman" w:eastAsia="黑体" w:cs="Times New Roman"/>
          <w:kern w:val="0"/>
          <w:sz w:val="32"/>
          <w:szCs w:val="32"/>
        </w:rPr>
      </w:pPr>
    </w:p>
    <w:p>
      <w:pPr>
        <w:autoSpaceDE w:val="0"/>
        <w:autoSpaceDN w:val="0"/>
        <w:adjustRightInd w:val="0"/>
        <w:jc w:val="left"/>
        <w:rPr>
          <w:rFonts w:ascii="Times New Roman" w:hAnsi="Times New Roman" w:eastAsia="黑体" w:cs="Times New Roman"/>
          <w:kern w:val="0"/>
          <w:sz w:val="32"/>
          <w:szCs w:val="32"/>
        </w:rPr>
      </w:pPr>
    </w:p>
    <w:p>
      <w:pPr>
        <w:autoSpaceDE w:val="0"/>
        <w:autoSpaceDN w:val="0"/>
        <w:adjustRightInd w:val="0"/>
        <w:jc w:val="left"/>
        <w:rPr>
          <w:rFonts w:ascii="Times New Roman" w:hAnsi="Times New Roman" w:eastAsia="黑体" w:cs="Times New Roman"/>
          <w:kern w:val="0"/>
          <w:sz w:val="32"/>
          <w:szCs w:val="32"/>
        </w:rPr>
      </w:pPr>
    </w:p>
    <w:p>
      <w:pPr>
        <w:rPr>
          <w:rFonts w:ascii="Times New Roman" w:hAnsi="Times New Roman" w:eastAsia="黑体" w:cs="Times New Roman"/>
          <w:b/>
          <w:bCs/>
          <w:szCs w:val="21"/>
        </w:rPr>
      </w:pPr>
    </w:p>
    <w:p>
      <w:pPr>
        <w:rPr>
          <w:rFonts w:ascii="Times New Roman" w:hAnsi="Times New Roman" w:eastAsia="黑体" w:cs="Times New Roman"/>
          <w:b/>
          <w:bCs/>
          <w:szCs w:val="21"/>
        </w:rPr>
      </w:pPr>
    </w:p>
    <w:p>
      <w:pPr>
        <w:rPr>
          <w:rFonts w:ascii="Times New Roman" w:hAnsi="Times New Roman" w:eastAsia="黑体" w:cs="Times New Roman"/>
          <w:b/>
          <w:bCs/>
          <w:szCs w:val="21"/>
        </w:rPr>
      </w:pPr>
    </w:p>
    <w:p>
      <w:pPr>
        <w:rPr>
          <w:rFonts w:ascii="Times New Roman" w:hAnsi="Times New Roman" w:eastAsia="黑体" w:cs="Times New Roman"/>
          <w:b/>
          <w:bCs/>
          <w:szCs w:val="21"/>
        </w:rPr>
      </w:pPr>
    </w:p>
    <w:p>
      <w:pPr>
        <w:rPr>
          <w:rFonts w:ascii="Times New Roman" w:hAnsi="Times New Roman" w:eastAsia="黑体" w:cs="Times New Roman"/>
          <w:b/>
          <w:bCs/>
          <w:szCs w:val="21"/>
        </w:rPr>
      </w:pPr>
    </w:p>
    <w:p>
      <w:pPr>
        <w:rPr>
          <w:rFonts w:ascii="Times New Roman" w:hAnsi="Times New Roman" w:eastAsia="黑体" w:cs="Times New Roman"/>
          <w:b/>
          <w:bCs/>
          <w:szCs w:val="21"/>
        </w:rPr>
      </w:pPr>
    </w:p>
    <w:p>
      <w:pPr>
        <w:rPr>
          <w:rFonts w:ascii="Times New Roman" w:hAnsi="Times New Roman" w:eastAsia="黑体" w:cs="Times New Roman"/>
          <w:b/>
          <w:bCs/>
          <w:szCs w:val="21"/>
        </w:rPr>
      </w:pPr>
    </w:p>
    <w:p>
      <w:pPr>
        <w:rPr>
          <w:rFonts w:ascii="Times New Roman" w:hAnsi="Times New Roman" w:eastAsia="黑体" w:cs="Times New Roman"/>
          <w:b/>
          <w:bCs/>
          <w:szCs w:val="21"/>
        </w:rPr>
      </w:pPr>
    </w:p>
    <w:p>
      <w:pPr>
        <w:jc w:val="center"/>
        <w:rPr>
          <w:rFonts w:ascii="Times New Roman" w:hAnsi="Times New Roman" w:eastAsia="黑体" w:cs="Times New Roman"/>
          <w:sz w:val="32"/>
          <w:szCs w:val="32"/>
        </w:rPr>
        <w:sectPr>
          <w:footerReference r:id="rId6" w:type="default"/>
          <w:headerReference r:id="rId5" w:type="even"/>
          <w:footerReference r:id="rId7" w:type="even"/>
          <w:pgSz w:w="11906" w:h="16838"/>
          <w:pgMar w:top="1440" w:right="1474" w:bottom="1440" w:left="1588" w:header="851" w:footer="992" w:gutter="0"/>
          <w:cols w:space="720" w:num="1"/>
          <w:titlePg/>
          <w:docGrid w:type="lines" w:linePitch="380" w:charSpace="0"/>
        </w:sectPr>
      </w:pPr>
      <w:r>
        <w:rPr>
          <w:rFonts w:ascii="Times New Roman" w:hAnsi="Times New Roman" w:cs="Times New Roman"/>
          <w:kern w:val="0"/>
          <w:sz w:val="24"/>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1682750</wp:posOffset>
                </wp:positionV>
                <wp:extent cx="4478655" cy="1179830"/>
                <wp:effectExtent l="0" t="0" r="0" b="444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4478655" cy="1179830"/>
                        </a:xfrm>
                        <a:prstGeom prst="rect">
                          <a:avLst/>
                        </a:prstGeom>
                        <a:solidFill>
                          <a:srgbClr val="FFFFFF"/>
                        </a:solidFill>
                        <a:ln>
                          <a:noFill/>
                        </a:ln>
                      </wps:spPr>
                      <wps:txbx>
                        <w:txbxContent>
                          <w:p>
                            <w:pPr>
                              <w:adjustRightInd w:val="0"/>
                              <w:snapToGrid w:val="0"/>
                              <w:jc w:val="distribute"/>
                              <w:textAlignment w:val="center"/>
                              <w:rPr>
                                <w:rFonts w:ascii="Arial" w:hAnsi="Arial" w:eastAsia="方正小标宋简体" w:cs="Arial"/>
                                <w:kern w:val="0"/>
                                <w:sz w:val="36"/>
                                <w:szCs w:val="36"/>
                              </w:rPr>
                            </w:pPr>
                            <w:r>
                              <w:rPr>
                                <w:rFonts w:hint="eastAsia" w:ascii="Arial" w:hAnsi="Arial" w:eastAsia="方正小标宋简体" w:cs="Arial"/>
                                <w:kern w:val="0"/>
                                <w:sz w:val="36"/>
                                <w:szCs w:val="36"/>
                              </w:rPr>
                              <w:t>国家发展和改革委员会</w:t>
                            </w:r>
                          </w:p>
                          <w:p>
                            <w:pPr>
                              <w:adjustRightInd w:val="0"/>
                              <w:snapToGrid w:val="0"/>
                              <w:jc w:val="distribute"/>
                              <w:textAlignment w:val="center"/>
                              <w:rPr>
                                <w:rFonts w:ascii="Arial" w:hAnsi="Arial" w:eastAsia="方正小标宋简体" w:cs="Arial"/>
                                <w:kern w:val="0"/>
                                <w:sz w:val="36"/>
                                <w:szCs w:val="36"/>
                              </w:rPr>
                            </w:pPr>
                            <w:r>
                              <w:rPr>
                                <w:rFonts w:hint="eastAsia" w:ascii="Arial" w:hAnsi="Arial" w:eastAsia="方正小标宋简体" w:cs="Arial"/>
                                <w:kern w:val="0"/>
                                <w:sz w:val="36"/>
                                <w:szCs w:val="36"/>
                              </w:rPr>
                              <w:t>生态环境部</w:t>
                            </w:r>
                          </w:p>
                          <w:p>
                            <w:pPr>
                              <w:adjustRightInd w:val="0"/>
                              <w:snapToGrid w:val="0"/>
                              <w:jc w:val="distribute"/>
                              <w:textAlignment w:val="center"/>
                              <w:rPr>
                                <w:rFonts w:ascii="Arial" w:hAnsi="Arial" w:eastAsia="方正小标宋简体" w:cs="Arial"/>
                                <w:kern w:val="0"/>
                                <w:sz w:val="36"/>
                                <w:szCs w:val="36"/>
                              </w:rPr>
                            </w:pPr>
                            <w:r>
                              <w:rPr>
                                <w:rFonts w:hint="eastAsia" w:ascii="Arial" w:hAnsi="Arial" w:eastAsia="方正小标宋简体" w:cs="Arial"/>
                                <w:kern w:val="0"/>
                                <w:sz w:val="36"/>
                                <w:szCs w:val="36"/>
                              </w:rPr>
                              <w:t>农业农村</w:t>
                            </w:r>
                            <w:r>
                              <w:rPr>
                                <w:rFonts w:ascii="Arial" w:hAnsi="Arial" w:eastAsia="方正小标宋简体" w:cs="Arial"/>
                                <w:kern w:val="0"/>
                                <w:sz w:val="36"/>
                                <w:szCs w:val="36"/>
                              </w:rPr>
                              <w:t>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5pt;margin-top:132.5pt;height:92.9pt;width:352.65pt;z-index:251660288;mso-width-relative:page;mso-height-relative:page;" fillcolor="#FFFFFF" filled="t" stroked="f" coordsize="21600,21600" o:gfxdata="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nUxKvYAAAACgEAAA8AAAAAAAAAAQAgAAAAIgAA&#10;AGRycy9kb3ducmV2LnhtbFBLAQIUABQAAAAIAIdO4kCiVSN8CAIAAOQDAAAOAAAAAAAAAAEAIAAA&#10;ACcBAABkcnMvZTJvRG9jLnhtbFBLBQYAAAAABgAGAFkBAAChBQAAAAA=&#10;">
                <v:fill on="t" focussize="0,0"/>
                <v:stroke on="f"/>
                <v:imagedata o:title=""/>
                <o:lock v:ext="edit" aspectratio="f"/>
                <v:textbox>
                  <w:txbxContent>
                    <w:p>
                      <w:pPr>
                        <w:adjustRightInd w:val="0"/>
                        <w:snapToGrid w:val="0"/>
                        <w:jc w:val="distribute"/>
                        <w:textAlignment w:val="center"/>
                        <w:rPr>
                          <w:rFonts w:ascii="Arial" w:hAnsi="Arial" w:eastAsia="方正小标宋简体" w:cs="Arial"/>
                          <w:kern w:val="0"/>
                          <w:sz w:val="36"/>
                          <w:szCs w:val="36"/>
                        </w:rPr>
                      </w:pPr>
                      <w:r>
                        <w:rPr>
                          <w:rFonts w:hint="eastAsia" w:ascii="Arial" w:hAnsi="Arial" w:eastAsia="方正小标宋简体" w:cs="Arial"/>
                          <w:kern w:val="0"/>
                          <w:sz w:val="36"/>
                          <w:szCs w:val="36"/>
                        </w:rPr>
                        <w:t>国家发展和改革委员会</w:t>
                      </w:r>
                    </w:p>
                    <w:p>
                      <w:pPr>
                        <w:adjustRightInd w:val="0"/>
                        <w:snapToGrid w:val="0"/>
                        <w:jc w:val="distribute"/>
                        <w:textAlignment w:val="center"/>
                        <w:rPr>
                          <w:rFonts w:ascii="Arial" w:hAnsi="Arial" w:eastAsia="方正小标宋简体" w:cs="Arial"/>
                          <w:kern w:val="0"/>
                          <w:sz w:val="36"/>
                          <w:szCs w:val="36"/>
                        </w:rPr>
                      </w:pPr>
                      <w:r>
                        <w:rPr>
                          <w:rFonts w:hint="eastAsia" w:ascii="Arial" w:hAnsi="Arial" w:eastAsia="方正小标宋简体" w:cs="Arial"/>
                          <w:kern w:val="0"/>
                          <w:sz w:val="36"/>
                          <w:szCs w:val="36"/>
                        </w:rPr>
                        <w:t>生态环境部</w:t>
                      </w:r>
                    </w:p>
                    <w:p>
                      <w:pPr>
                        <w:adjustRightInd w:val="0"/>
                        <w:snapToGrid w:val="0"/>
                        <w:jc w:val="distribute"/>
                        <w:textAlignment w:val="center"/>
                        <w:rPr>
                          <w:rFonts w:ascii="Arial" w:hAnsi="Arial" w:eastAsia="方正小标宋简体" w:cs="Arial"/>
                          <w:kern w:val="0"/>
                          <w:sz w:val="36"/>
                          <w:szCs w:val="36"/>
                        </w:rPr>
                      </w:pPr>
                      <w:r>
                        <w:rPr>
                          <w:rFonts w:hint="eastAsia" w:ascii="Arial" w:hAnsi="Arial" w:eastAsia="方正小标宋简体" w:cs="Arial"/>
                          <w:kern w:val="0"/>
                          <w:sz w:val="36"/>
                          <w:szCs w:val="36"/>
                        </w:rPr>
                        <w:t>农业农村</w:t>
                      </w:r>
                      <w:r>
                        <w:rPr>
                          <w:rFonts w:ascii="Arial" w:hAnsi="Arial" w:eastAsia="方正小标宋简体" w:cs="Arial"/>
                          <w:kern w:val="0"/>
                          <w:sz w:val="36"/>
                          <w:szCs w:val="36"/>
                        </w:rPr>
                        <w:t>部</w:t>
                      </w:r>
                    </w:p>
                  </w:txbxContent>
                </v:textbox>
              </v:rect>
            </w:pict>
          </mc:Fallback>
        </mc:AlternateContent>
      </w:r>
      <w:r>
        <w:rPr>
          <w:rFonts w:ascii="Times New Roman" w:hAnsi="Times New Roman" w:cs="Times New Roman"/>
          <w:kern w:val="0"/>
          <w:sz w:val="24"/>
        </w:rPr>
        <mc:AlternateContent>
          <mc:Choice Requires="wps">
            <w:drawing>
              <wp:anchor distT="0" distB="0" distL="114300" distR="114300" simplePos="0" relativeHeight="251661312" behindDoc="0" locked="0" layoutInCell="1" allowOverlap="1">
                <wp:simplePos x="0" y="0"/>
                <wp:positionH relativeFrom="column">
                  <wp:posOffset>4481195</wp:posOffset>
                </wp:positionH>
                <wp:positionV relativeFrom="paragraph">
                  <wp:posOffset>2030730</wp:posOffset>
                </wp:positionV>
                <wp:extent cx="818515" cy="441325"/>
                <wp:effectExtent l="3175" t="1905" r="0" b="444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818515" cy="441325"/>
                        </a:xfrm>
                        <a:prstGeom prst="rect">
                          <a:avLst/>
                        </a:prstGeom>
                        <a:solidFill>
                          <a:srgbClr val="FFFFFF"/>
                        </a:solidFill>
                        <a:ln>
                          <a:noFill/>
                        </a:ln>
                      </wps:spPr>
                      <wps:txbx>
                        <w:txbxContent>
                          <w:p>
                            <w:pPr>
                              <w:spacing w:line="500" w:lineRule="exact"/>
                              <w:jc w:val="center"/>
                              <w:rPr>
                                <w:rFonts w:ascii="Arial" w:hAnsi="Arial" w:eastAsia="方正小标宋简体" w:cs="Arial"/>
                                <w:kern w:val="0"/>
                                <w:sz w:val="36"/>
                                <w:szCs w:val="36"/>
                              </w:rPr>
                            </w:pPr>
                            <w:r>
                              <w:rPr>
                                <w:rFonts w:hint="eastAsia" w:ascii="Arial" w:hAnsi="Arial" w:eastAsia="方正小标宋简体" w:cs="Arial"/>
                                <w:kern w:val="0"/>
                                <w:sz w:val="36"/>
                                <w:szCs w:val="36"/>
                              </w:rPr>
                              <w:t>发布</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52.85pt;margin-top:159.9pt;height:34.75pt;width:64.45pt;z-index:251661312;mso-width-relative:page;mso-height-relative:page;" fillcolor="#FFFFFF" filled="t" stroked="f" coordsize="21600,21600" o:gfxdata="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niBxTZAAAACwEAAA8AAAAAAAAAAQAgAAAAIgAAAGRy&#10;cy9kb3ducmV2LnhtbFBLAQIUABQAAAAIAIdO4kAd13nBBAIAAOIDAAAOAAAAAAAAAAEAIAAAACgB&#10;AABkcnMvZTJvRG9jLnhtbFBLBQYAAAAABgAGAFkBAACeBQAAAAA=&#10;">
                <v:fill on="t" focussize="0,0"/>
                <v:stroke on="f"/>
                <v:imagedata o:title=""/>
                <o:lock v:ext="edit" aspectratio="f"/>
                <v:textbox>
                  <w:txbxContent>
                    <w:p>
                      <w:pPr>
                        <w:spacing w:line="500" w:lineRule="exact"/>
                        <w:jc w:val="center"/>
                        <w:rPr>
                          <w:rFonts w:ascii="Arial" w:hAnsi="Arial" w:eastAsia="方正小标宋简体" w:cs="Arial"/>
                          <w:kern w:val="0"/>
                          <w:sz w:val="36"/>
                          <w:szCs w:val="36"/>
                        </w:rPr>
                      </w:pPr>
                      <w:r>
                        <w:rPr>
                          <w:rFonts w:hint="eastAsia" w:ascii="Arial" w:hAnsi="Arial" w:eastAsia="方正小标宋简体" w:cs="Arial"/>
                          <w:kern w:val="0"/>
                          <w:sz w:val="36"/>
                          <w:szCs w:val="36"/>
                        </w:rPr>
                        <w:t>发布</w:t>
                      </w:r>
                    </w:p>
                  </w:txbxContent>
                </v:textbox>
              </v:rect>
            </w:pict>
          </mc:Fallback>
        </mc:AlternateContent>
      </w:r>
      <w:r>
        <w:rPr>
          <w:rFonts w:ascii="Times New Roman" w:hAnsi="Times New Roman" w:cs="Times New Roman"/>
          <w:kern w:val="0"/>
          <w:sz w:val="24"/>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1584960</wp:posOffset>
                </wp:positionV>
                <wp:extent cx="5433695" cy="26670"/>
                <wp:effectExtent l="14605" t="13335" r="9525" b="1714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33695" cy="2667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7.75pt;margin-top:124.8pt;height:2.1pt;width:427.85pt;z-index:251659264;mso-width-relative:page;mso-height-relative:page;" filled="f" stroked="t" coordsize="21600,21600" o:gfxdata="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cNLtL2QAAAAsBAAAPAAAAAAAAAAEAIAAAACIA&#10;AABkcnMvZG93bnJldi54bWxQSwECFAAUAAAACACHTuJAfpnCaM8BAABhAwAADgAAAAAAAAABACAA&#10;AAAoAQAAZHJzL2Uyb0RvYy54bWxQSwUGAAAAAAYABgBZAQAAaQUAAAAA&#10;">
                <v:fill on="f" focussize="0,0"/>
                <v:stroke weight="1.5pt" color="#000000" joinstyle="round"/>
                <v:imagedata o:title=""/>
                <o:lock v:ext="edit" aspectratio="f"/>
              </v:line>
            </w:pict>
          </mc:Fallback>
        </mc:AlternateContent>
      </w:r>
    </w:p>
    <w:p>
      <w:pPr>
        <w:pStyle w:val="4"/>
        <w:jc w:val="center"/>
        <w:rPr>
          <w:rFonts w:ascii="Times New Roman" w:hAnsi="Times New Roman" w:eastAsia="黑体" w:cs="Times New Roman"/>
          <w:sz w:val="32"/>
          <w:szCs w:val="32"/>
        </w:rPr>
      </w:pPr>
      <w:r>
        <w:rPr>
          <w:rFonts w:ascii="Times New Roman" w:hAnsi="Times New Roman" w:eastAsia="黑体" w:cs="Times New Roman"/>
          <w:sz w:val="32"/>
          <w:szCs w:val="32"/>
        </w:rPr>
        <w:t>目</w:t>
      </w:r>
      <w:r>
        <w:rPr>
          <w:rFonts w:ascii="Times New Roman" w:hAnsi="Times New Roman" w:eastAsia="黑体" w:cs="Times New Roman"/>
          <w:sz w:val="32"/>
          <w:szCs w:val="32"/>
        </w:rPr>
        <w:tab/>
      </w:r>
      <w:r>
        <w:rPr>
          <w:rFonts w:ascii="Times New Roman" w:hAnsi="Times New Roman" w:eastAsia="黑体" w:cs="Times New Roman"/>
          <w:sz w:val="32"/>
          <w:szCs w:val="32"/>
        </w:rPr>
        <w:tab/>
      </w:r>
      <w:r>
        <w:rPr>
          <w:rFonts w:ascii="Times New Roman" w:hAnsi="Times New Roman" w:eastAsia="黑体" w:cs="Times New Roman"/>
          <w:sz w:val="32"/>
          <w:szCs w:val="32"/>
        </w:rPr>
        <w:t>次</w:t>
      </w:r>
    </w:p>
    <w:p>
      <w:pPr>
        <w:spacing w:line="300" w:lineRule="auto"/>
        <w:jc w:val="center"/>
        <w:rPr>
          <w:rFonts w:ascii="Times New Roman" w:hAnsi="Times New Roman" w:cs="Times New Roman"/>
          <w:b/>
          <w:sz w:val="32"/>
          <w:szCs w:val="32"/>
        </w:rPr>
      </w:pPr>
    </w:p>
    <w:p>
      <w:pPr>
        <w:pStyle w:val="8"/>
        <w:rPr>
          <w:rFonts w:hint="eastAsia" w:asciiTheme="minorEastAsia" w:hAnsiTheme="minorEastAsia" w:eastAsiaTheme="minorEastAsia" w:cstheme="minorEastAsia"/>
          <w:szCs w:val="22"/>
        </w:rPr>
      </w:pPr>
      <w:r>
        <w:rPr>
          <w:rFonts w:ascii="Times New Roman" w:hAnsi="Times New Roman"/>
        </w:rPr>
        <w:fldChar w:fldCharType="begin"/>
      </w:r>
      <w:r>
        <w:rPr>
          <w:rFonts w:ascii="Times New Roman" w:hAnsi="Times New Roman"/>
        </w:rPr>
        <w:instrText xml:space="preserve"> TOC \o "1-1" \h \z \u </w:instrText>
      </w:r>
      <w:r>
        <w:rPr>
          <w:rFonts w:ascii="Times New Roman" w:hAnsi="Times New Roman"/>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"_Toc440985560" </w:instrText>
      </w:r>
      <w:r>
        <w:rPr>
          <w:rFonts w:hint="eastAsia" w:asciiTheme="minorEastAsia" w:hAnsiTheme="minorEastAsia" w:eastAsiaTheme="minorEastAsia" w:cstheme="minorEastAsia"/>
        </w:rPr>
        <w:fldChar w:fldCharType="separate"/>
      </w:r>
      <w:r>
        <w:rPr>
          <w:rStyle w:val="14"/>
          <w:rFonts w:hint="eastAsia" w:asciiTheme="minorEastAsia" w:hAnsiTheme="minorEastAsia" w:eastAsiaTheme="minorEastAsia" w:cstheme="minorEastAsia"/>
        </w:rPr>
        <w:t>前   言</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p>
    <w:p>
      <w:pPr>
        <w:pStyle w:val="8"/>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"_Toc440985561" </w:instrText>
      </w:r>
      <w:r>
        <w:rPr>
          <w:rFonts w:hint="eastAsia" w:asciiTheme="minorEastAsia" w:hAnsiTheme="minorEastAsia" w:eastAsiaTheme="minorEastAsia" w:cstheme="minorEastAsia"/>
        </w:rPr>
        <w:fldChar w:fldCharType="separate"/>
      </w:r>
      <w:r>
        <w:rPr>
          <w:rStyle w:val="14"/>
          <w:rFonts w:hint="eastAsia" w:asciiTheme="minorEastAsia" w:hAnsiTheme="minorEastAsia" w:eastAsiaTheme="minorEastAsia" w:cstheme="minorEastAsia"/>
        </w:rPr>
        <w:t>1  适用范围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_Toc440985561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"_Toc440985562" </w:instrText>
      </w:r>
      <w:r>
        <w:rPr>
          <w:rFonts w:hint="eastAsia" w:asciiTheme="minorEastAsia" w:hAnsiTheme="minorEastAsia" w:eastAsiaTheme="minorEastAsia" w:cstheme="minorEastAsia"/>
        </w:rPr>
        <w:fldChar w:fldCharType="separate"/>
      </w:r>
      <w:r>
        <w:rPr>
          <w:rStyle w:val="14"/>
          <w:rFonts w:hint="eastAsia" w:asciiTheme="minorEastAsia" w:hAnsiTheme="minorEastAsia" w:eastAsiaTheme="minorEastAsia" w:cstheme="minorEastAsia"/>
        </w:rPr>
        <w:t>2  规范性引用文件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_Toc440985562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"_Toc440985563" </w:instrText>
      </w:r>
      <w:r>
        <w:rPr>
          <w:rFonts w:hint="eastAsia" w:asciiTheme="minorEastAsia" w:hAnsiTheme="minorEastAsia" w:eastAsiaTheme="minorEastAsia" w:cstheme="minorEastAsia"/>
        </w:rPr>
        <w:fldChar w:fldCharType="separate"/>
      </w:r>
      <w:r>
        <w:rPr>
          <w:rStyle w:val="14"/>
          <w:rFonts w:hint="eastAsia" w:asciiTheme="minorEastAsia" w:hAnsiTheme="minorEastAsia" w:eastAsiaTheme="minorEastAsia" w:cstheme="minorEastAsia"/>
        </w:rPr>
        <w:t>3  术语和定义</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_Toc440985563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"_Toc440985564" </w:instrText>
      </w:r>
      <w:r>
        <w:rPr>
          <w:rFonts w:hint="eastAsia" w:asciiTheme="minorEastAsia" w:hAnsiTheme="minorEastAsia" w:eastAsiaTheme="minorEastAsia" w:cstheme="minorEastAsia"/>
        </w:rPr>
        <w:fldChar w:fldCharType="separate"/>
      </w:r>
      <w:r>
        <w:rPr>
          <w:rStyle w:val="14"/>
          <w:rFonts w:hint="eastAsia" w:asciiTheme="minorEastAsia" w:hAnsiTheme="minorEastAsia" w:eastAsiaTheme="minorEastAsia" w:cstheme="minorEastAsia"/>
        </w:rPr>
        <w:t>4  评价指标体系</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p>
    <w:p>
      <w:pPr>
        <w:pStyle w:val="8"/>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"_Toc440985565" </w:instrText>
      </w:r>
      <w:r>
        <w:rPr>
          <w:rFonts w:hint="eastAsia" w:asciiTheme="minorEastAsia" w:hAnsiTheme="minorEastAsia" w:eastAsiaTheme="minorEastAsia" w:cstheme="minorEastAsia"/>
        </w:rPr>
        <w:fldChar w:fldCharType="separate"/>
      </w:r>
      <w:r>
        <w:rPr>
          <w:rStyle w:val="14"/>
          <w:rFonts w:hint="eastAsia" w:asciiTheme="minorEastAsia" w:hAnsiTheme="minorEastAsia" w:eastAsiaTheme="minorEastAsia" w:cstheme="minorEastAsia"/>
        </w:rPr>
        <w:t>5  评价方法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_Toc440985565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rPr>
          <w:rFonts w:ascii="Times New Roman" w:hAnsi="Times New Roman"/>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"_Toc440985566" </w:instrText>
      </w:r>
      <w:r>
        <w:rPr>
          <w:rFonts w:hint="eastAsia" w:asciiTheme="minorEastAsia" w:hAnsiTheme="minorEastAsia" w:eastAsiaTheme="minorEastAsia" w:cstheme="minorEastAsia"/>
        </w:rPr>
        <w:fldChar w:fldCharType="separate"/>
      </w:r>
      <w:r>
        <w:rPr>
          <w:rStyle w:val="14"/>
          <w:rFonts w:hint="eastAsia" w:asciiTheme="minorEastAsia" w:hAnsiTheme="minorEastAsia" w:eastAsiaTheme="minorEastAsia" w:cstheme="minorEastAsia"/>
        </w:rPr>
        <w:t>6  指标解释与数据来源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p>
    <w:p>
      <w:pPr>
        <w:autoSpaceDE w:val="0"/>
        <w:autoSpaceDN w:val="0"/>
        <w:adjustRightInd w:val="0"/>
        <w:rPr>
          <w:rFonts w:ascii="Times New Roman" w:hAnsi="Times New Roman" w:eastAsia="黑体" w:cs="Times New Roman"/>
          <w:kern w:val="0"/>
          <w:sz w:val="32"/>
          <w:szCs w:val="32"/>
        </w:rPr>
      </w:pPr>
      <w:r>
        <w:rPr>
          <w:rFonts w:ascii="Times New Roman" w:hAnsi="Times New Roman" w:cs="Times New Roman"/>
        </w:rPr>
        <w:fldChar w:fldCharType="end"/>
      </w:r>
    </w:p>
    <w:p>
      <w:pPr>
        <w:autoSpaceDE w:val="0"/>
        <w:autoSpaceDN w:val="0"/>
        <w:adjustRightInd w:val="0"/>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pPr>
    </w:p>
    <w:p>
      <w:pPr>
        <w:autoSpaceDE w:val="0"/>
        <w:autoSpaceDN w:val="0"/>
        <w:adjustRightInd w:val="0"/>
        <w:jc w:val="center"/>
        <w:rPr>
          <w:rFonts w:ascii="Times New Roman" w:hAnsi="Times New Roman" w:eastAsia="黑体" w:cs="Times New Roman"/>
          <w:kern w:val="0"/>
          <w:sz w:val="32"/>
          <w:szCs w:val="32"/>
        </w:rPr>
        <w:sectPr>
          <w:headerReference r:id="rId8" w:type="first"/>
          <w:footerReference r:id="rId11" w:type="first"/>
          <w:footerReference r:id="rId9" w:type="default"/>
          <w:footerReference r:id="rId10" w:type="even"/>
          <w:pgSz w:w="11906" w:h="16838"/>
          <w:pgMar w:top="1440" w:right="1800" w:bottom="1440" w:left="1800" w:header="851" w:footer="992" w:gutter="0"/>
          <w:pgNumType w:start="1"/>
          <w:cols w:space="425" w:num="1"/>
          <w:titlePg/>
          <w:docGrid w:linePitch="312" w:charSpace="0"/>
        </w:sectPr>
      </w:pPr>
    </w:p>
    <w:p>
      <w:pPr>
        <w:autoSpaceDE w:val="0"/>
        <w:autoSpaceDN w:val="0"/>
        <w:adjustRightInd w:val="0"/>
        <w:jc w:val="center"/>
        <w:rPr>
          <w:rFonts w:ascii="Times New Roman" w:hAnsi="Times New Roman" w:eastAsia="黑体" w:cs="Times New Roman"/>
          <w:kern w:val="0"/>
          <w:sz w:val="32"/>
          <w:szCs w:val="32"/>
        </w:rPr>
      </w:pPr>
    </w:p>
    <w:p>
      <w:pPr>
        <w:pStyle w:val="2"/>
        <w:spacing w:beforeLines="50" w:afterLines="50" w:line="300" w:lineRule="auto"/>
        <w:jc w:val="center"/>
        <w:rPr>
          <w:rFonts w:ascii="Times New Roman" w:hAnsi="Times New Roman" w:eastAsia="黑体"/>
          <w:b w:val="0"/>
          <w:sz w:val="32"/>
          <w:szCs w:val="32"/>
        </w:rPr>
      </w:pPr>
      <w:r>
        <w:rPr>
          <w:rFonts w:ascii="Times New Roman" w:hAnsi="Times New Roman" w:eastAsia="黑体"/>
          <w:b w:val="0"/>
          <w:sz w:val="32"/>
          <w:szCs w:val="32"/>
        </w:rPr>
        <w:t>前  言</w:t>
      </w:r>
    </w:p>
    <w:p>
      <w:pPr>
        <w:autoSpaceDE w:val="0"/>
        <w:autoSpaceDN w:val="0"/>
        <w:adjustRightInd w:val="0"/>
        <w:spacing w:line="300" w:lineRule="auto"/>
        <w:jc w:val="center"/>
        <w:rPr>
          <w:rFonts w:ascii="Times New Roman" w:hAnsi="Times New Roman" w:eastAsia="黑体" w:cs="Times New Roman"/>
          <w:kern w:val="0"/>
          <w:sz w:val="32"/>
          <w:szCs w:val="32"/>
        </w:rPr>
      </w:pPr>
    </w:p>
    <w:p>
      <w:pPr>
        <w:spacing w:line="30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为贯彻《中华人民共和国环境保护法》和《中华人民共和国清洁生产促进法》，指导和推动淡水池塘养殖企业依法实施清洁生产，提高资源利用率，减少和避免污染物的产生，保护和改善环境，制定清洁生产评价指标体系（以下简称“指标体系”）。</w:t>
      </w:r>
    </w:p>
    <w:p>
      <w:pPr>
        <w:spacing w:line="30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本指标体系依据综合评价所得分值将清洁生产等级划分为三级，</w:t>
      </w:r>
      <w:r>
        <w:rPr>
          <w:rFonts w:hint="eastAsia" w:ascii="宋体" w:hAnsi="宋体" w:eastAsia="宋体" w:cs="宋体"/>
          <w:szCs w:val="21"/>
        </w:rPr>
        <w:t>Ⅰ</w:t>
      </w:r>
      <w:r>
        <w:rPr>
          <w:rFonts w:ascii="Times New Roman" w:hAnsi="Times New Roman" w:eastAsia="宋体" w:cs="Times New Roman"/>
          <w:szCs w:val="21"/>
        </w:rPr>
        <w:t>级为国际清洁生产领先水平；</w:t>
      </w:r>
      <w:r>
        <w:rPr>
          <w:rFonts w:hint="eastAsia" w:ascii="宋体" w:hAnsi="宋体" w:eastAsia="宋体" w:cs="宋体"/>
          <w:szCs w:val="21"/>
        </w:rPr>
        <w:t>Ⅱ</w:t>
      </w:r>
      <w:r>
        <w:rPr>
          <w:rFonts w:ascii="Times New Roman" w:hAnsi="Times New Roman" w:eastAsia="宋体" w:cs="Times New Roman"/>
          <w:szCs w:val="21"/>
        </w:rPr>
        <w:t>级为国内清洁生产先进水平；</w:t>
      </w:r>
      <w:r>
        <w:rPr>
          <w:rFonts w:hint="eastAsia" w:ascii="宋体" w:hAnsi="宋体" w:eastAsia="宋体" w:cs="宋体"/>
          <w:szCs w:val="21"/>
        </w:rPr>
        <w:t>Ⅲ</w:t>
      </w:r>
      <w:r>
        <w:rPr>
          <w:rFonts w:ascii="Times New Roman" w:hAnsi="Times New Roman" w:eastAsia="宋体" w:cs="Times New Roman"/>
          <w:szCs w:val="21"/>
        </w:rPr>
        <w:t>级为国内清洁生产一般水平。随着技术的不断进步和发展，本指标体系将适时修订。</w:t>
      </w:r>
    </w:p>
    <w:p>
      <w:pPr>
        <w:spacing w:line="30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本指标体系起草单位：中国水产科学研究院渔业机械仪器研究所、中国环境科学研究院</w:t>
      </w:r>
    </w:p>
    <w:p>
      <w:pPr>
        <w:spacing w:line="30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本指标体系由国家发展改革委、生态环境部会同农业农村部联合提出。</w:t>
      </w:r>
    </w:p>
    <w:p>
      <w:pPr>
        <w:spacing w:line="30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本指标体系由国家发展改革委、生态环境部会同农业农村部负责解释。</w:t>
      </w:r>
    </w:p>
    <w:p>
      <w:pPr>
        <w:autoSpaceDE w:val="0"/>
        <w:autoSpaceDN w:val="0"/>
        <w:adjustRightInd w:val="0"/>
        <w:spacing w:line="300" w:lineRule="auto"/>
        <w:jc w:val="left"/>
        <w:rPr>
          <w:rFonts w:ascii="Times New Roman" w:hAnsi="Times New Roman" w:eastAsia="TimesNewRomanPSMT" w:cs="Times New Roman"/>
          <w:kern w:val="0"/>
          <w:sz w:val="18"/>
          <w:szCs w:val="18"/>
        </w:rPr>
      </w:pPr>
    </w:p>
    <w:p>
      <w:pPr>
        <w:autoSpaceDE w:val="0"/>
        <w:autoSpaceDN w:val="0"/>
        <w:adjustRightInd w:val="0"/>
        <w:spacing w:line="300" w:lineRule="auto"/>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pPr>
    </w:p>
    <w:p>
      <w:pPr>
        <w:autoSpaceDE w:val="0"/>
        <w:autoSpaceDN w:val="0"/>
        <w:adjustRightInd w:val="0"/>
        <w:jc w:val="left"/>
        <w:rPr>
          <w:rFonts w:ascii="Times New Roman" w:hAnsi="Times New Roman" w:eastAsia="TimesNewRomanPSMT" w:cs="Times New Roman"/>
          <w:kern w:val="0"/>
          <w:sz w:val="18"/>
          <w:szCs w:val="18"/>
        </w:rPr>
        <w:sectPr>
          <w:footerReference r:id="rId12" w:type="default"/>
          <w:pgSz w:w="11906" w:h="16838"/>
          <w:pgMar w:top="1440" w:right="1800" w:bottom="1440" w:left="1800" w:header="851" w:footer="992" w:gutter="0"/>
          <w:pgNumType w:fmt="upperRoman" w:start="1"/>
          <w:cols w:space="425" w:num="1"/>
          <w:docGrid w:linePitch="312" w:charSpace="0"/>
        </w:sectPr>
      </w:pPr>
      <w:r>
        <w:rPr>
          <w:rFonts w:ascii="Times New Roman" w:hAnsi="Times New Roman" w:eastAsia="TimesNewRomanPSMT" w:cs="Times New Roman"/>
          <w:kern w:val="0"/>
          <w:sz w:val="18"/>
          <w:szCs w:val="18"/>
        </w:rPr>
        <w:br w:type="page"/>
      </w:r>
    </w:p>
    <w:p>
      <w:pPr>
        <w:pStyle w:val="2"/>
        <w:adjustRightInd w:val="0"/>
        <w:snapToGrid w:val="0"/>
        <w:spacing w:before="240" w:beforeLines="100" w:after="240" w:afterLines="100"/>
        <w:textAlignment w:val="center"/>
        <w:rPr>
          <w:rFonts w:ascii="Times New Roman" w:hAnsi="Times New Roman" w:eastAsia="黑体"/>
          <w:b w:val="0"/>
          <w:bCs w:val="0"/>
          <w:kern w:val="2"/>
          <w:sz w:val="21"/>
          <w:szCs w:val="21"/>
          <w:lang w:val="zh-CN"/>
        </w:rPr>
      </w:pPr>
      <w:r>
        <w:rPr>
          <w:rFonts w:ascii="Times New Roman" w:hAnsi="Times New Roman" w:eastAsia="黑体"/>
          <w:b w:val="0"/>
          <w:bCs w:val="0"/>
          <w:kern w:val="2"/>
          <w:sz w:val="21"/>
          <w:szCs w:val="21"/>
          <w:lang w:val="zh-CN"/>
        </w:rPr>
        <w:t>1 适用范围</w:t>
      </w:r>
    </w:p>
    <w:p>
      <w:pPr>
        <w:snapToGrid w:val="0"/>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本指标体系规定了淡水池塘养殖企业清洁生产的一般要求。本指标体系将清洁生产指标分成六类，即生产工艺与装备指标、资源能源消耗指标、资源综合利用指标、污染物产生指标</w:t>
      </w:r>
      <w:r>
        <w:rPr>
          <w:rFonts w:hint="eastAsia"/>
          <w:szCs w:val="21"/>
        </w:rPr>
        <w:t>（末端处理前）</w:t>
      </w:r>
      <w:r>
        <w:rPr>
          <w:rFonts w:ascii="Times New Roman" w:hAnsi="Times New Roman" w:eastAsia="宋体" w:cs="Times New Roman"/>
          <w:szCs w:val="21"/>
        </w:rPr>
        <w:t>、产品特征指标、清洁生产管理指标。</w:t>
      </w:r>
    </w:p>
    <w:p>
      <w:pPr>
        <w:snapToGrid w:val="0"/>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本指标体系适用于淡水池塘养殖企业</w:t>
      </w:r>
      <w:r>
        <w:rPr>
          <w:szCs w:val="21"/>
        </w:rPr>
        <w:t>的清洁生产审核、清洁生产潜力与机会的判断以及清洁生产绩效评定和清洁生产绩效公告制度，也适用于环境影响评价、排污许可证管理、环保领跑者等环境管理制度</w:t>
      </w:r>
      <w:r>
        <w:rPr>
          <w:rFonts w:ascii="Times New Roman" w:hAnsi="Times New Roman" w:eastAsia="宋体" w:cs="Times New Roman"/>
          <w:szCs w:val="21"/>
        </w:rPr>
        <w:t>。</w:t>
      </w:r>
    </w:p>
    <w:p>
      <w:pPr>
        <w:pStyle w:val="2"/>
        <w:adjustRightInd w:val="0"/>
        <w:snapToGrid w:val="0"/>
        <w:spacing w:before="240" w:beforeLines="100" w:after="240" w:afterLines="100"/>
        <w:textAlignment w:val="center"/>
        <w:rPr>
          <w:rFonts w:ascii="Times New Roman" w:hAnsi="Times New Roman" w:eastAsia="黑体"/>
          <w:b w:val="0"/>
          <w:bCs w:val="0"/>
          <w:kern w:val="2"/>
          <w:sz w:val="21"/>
          <w:szCs w:val="21"/>
          <w:lang w:val="zh-CN"/>
        </w:rPr>
      </w:pPr>
      <w:r>
        <w:rPr>
          <w:rFonts w:ascii="Times New Roman" w:hAnsi="Times New Roman" w:eastAsia="黑体"/>
          <w:b w:val="0"/>
          <w:bCs w:val="0"/>
          <w:kern w:val="2"/>
          <w:sz w:val="21"/>
          <w:szCs w:val="21"/>
          <w:lang w:val="zh-CN"/>
        </w:rPr>
        <w:t>2 规范性引用文件</w:t>
      </w:r>
    </w:p>
    <w:p>
      <w:pPr>
        <w:spacing w:line="300" w:lineRule="auto"/>
        <w:ind w:firstLine="420" w:firstLineChars="200"/>
        <w:textAlignment w:val="center"/>
        <w:rPr>
          <w:rFonts w:ascii="Times New Roman" w:hAnsi="Times New Roman" w:eastAsia="宋体" w:cs="Times New Roman"/>
          <w:szCs w:val="21"/>
        </w:rPr>
      </w:pPr>
      <w:r>
        <w:rPr>
          <w:rFonts w:hint="eastAsia" w:ascii="Times New Roman"/>
          <w:szCs w:val="21"/>
        </w:rPr>
        <w:t>下列文件对于本指标体系的应用是必不可少的。凡是注日期的引用文件，仅注日期的版本适用于本指标体系。凡是不注日期的引用文件，其最新版本（包括所有的修改单）适用于本指标体系</w:t>
      </w:r>
      <w:r>
        <w:rPr>
          <w:rFonts w:ascii="Times New Roman" w:hAnsi="Times New Roman" w:eastAsia="宋体" w:cs="Times New Roman"/>
          <w:szCs w:val="21"/>
        </w:rPr>
        <w:t>。</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GB</w:t>
      </w:r>
      <w:r>
        <w:rPr>
          <w:rFonts w:hint="eastAsia" w:ascii="Times New Roman" w:hAnsi="Times New Roman" w:eastAsia="宋体" w:cs="Times New Roman"/>
          <w:szCs w:val="21"/>
        </w:rPr>
        <w:t xml:space="preserve"> </w:t>
      </w:r>
      <w:r>
        <w:rPr>
          <w:rFonts w:ascii="Times New Roman" w:hAnsi="Times New Roman" w:eastAsia="宋体" w:cs="Times New Roman"/>
          <w:szCs w:val="21"/>
        </w:rPr>
        <w:t>2733       食品安全国家标准 鲜、冻动物性水产品</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 xml:space="preserve">GB 11607      渔业水质标准 </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GB 18406.4    农产品安全质量 无公害水产品安全要求</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GB/T 20014.14  良好农业规范  第14部分：水产池塘养殖基础控制点与符合性规范</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NY 5051       无公害食品 淡水养殖用水水质</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NY 5070       无公害食品　水产品中渔药残留限量</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NY 5071       无公害食品　渔用药物使用准则</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NY 5072       无公害食品  渔用配合饲料安全限量</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NY 5073       无公害食品　水产品中有毒有害物质限量</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NY 5361       无公害农产品 淡水养殖产地环境条件</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NY/T 391      绿色食品 产地环境质量标准</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NY/T 755      绿色食品 鱼药使用准则</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NY/T 840      绿色食品  虾</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NY/T 841      绿色食品  蟹</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NY/T 842      绿色食品  鱼</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NY/T 2112     绿色食品 渔业饲料及饲料添加剂使用准则</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SC/T 9101     淡水池塘养殖水排放要求</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《饲料和饲料添加剂管理条例》</w:t>
      </w:r>
      <w:r>
        <w:rPr>
          <w:rFonts w:hint="eastAsia" w:ascii="Times New Roman" w:hAnsi="Times New Roman" w:eastAsia="宋体" w:cs="Times New Roman"/>
          <w:szCs w:val="21"/>
        </w:rPr>
        <w:t xml:space="preserve"> </w:t>
      </w:r>
      <w:r>
        <w:rPr>
          <w:rFonts w:ascii="Times New Roman" w:hAnsi="Times New Roman" w:eastAsia="宋体" w:cs="Times New Roman"/>
          <w:szCs w:val="21"/>
        </w:rPr>
        <w:t>（中华人民共和国国务院令</w:t>
      </w:r>
      <w:r>
        <w:rPr>
          <w:rFonts w:hint="eastAsia" w:ascii="Times New Roman" w:hAnsi="Times New Roman" w:eastAsia="宋体" w:cs="Times New Roman"/>
          <w:szCs w:val="21"/>
        </w:rPr>
        <w:t xml:space="preserve"> </w:t>
      </w:r>
      <w:r>
        <w:rPr>
          <w:rFonts w:ascii="Times New Roman" w:hAnsi="Times New Roman" w:eastAsia="宋体" w:cs="Times New Roman"/>
          <w:szCs w:val="21"/>
        </w:rPr>
        <w:t>第609号）</w:t>
      </w:r>
    </w:p>
    <w:p>
      <w:pPr>
        <w:spacing w:line="300" w:lineRule="auto"/>
        <w:ind w:firstLine="420" w:firstLineChars="200"/>
        <w:textAlignment w:val="center"/>
        <w:rPr>
          <w:rFonts w:ascii="Times New Roman" w:hAnsi="Times New Roman" w:eastAsia="宋体" w:cs="Times New Roman"/>
          <w:szCs w:val="21"/>
        </w:rPr>
      </w:pPr>
      <w:r>
        <w:rPr>
          <w:rFonts w:ascii="Times New Roman" w:hAnsi="Times New Roman" w:eastAsia="宋体" w:cs="Times New Roman"/>
          <w:szCs w:val="21"/>
        </w:rPr>
        <w:t>《清洁生产评价指标体系编制通则》（试行稿）</w:t>
      </w:r>
      <w:r>
        <w:rPr>
          <w:rFonts w:hint="eastAsia" w:ascii="Times New Roman" w:hAnsi="Times New Roman" w:eastAsia="宋体" w:cs="Times New Roman"/>
          <w:szCs w:val="21"/>
        </w:rPr>
        <w:t xml:space="preserve"> </w:t>
      </w:r>
      <w:r>
        <w:rPr>
          <w:rFonts w:ascii="Times New Roman" w:hAnsi="Times New Roman" w:eastAsia="宋体" w:cs="Times New Roman"/>
          <w:szCs w:val="21"/>
        </w:rPr>
        <w:t>（国家发展改革委、环境保护部、工业和信息化部</w:t>
      </w:r>
      <w:r>
        <w:rPr>
          <w:rFonts w:hint="eastAsia" w:ascii="Times New Roman" w:hAnsi="Times New Roman" w:eastAsia="宋体" w:cs="Times New Roman"/>
          <w:szCs w:val="21"/>
        </w:rPr>
        <w:t xml:space="preserve"> </w:t>
      </w:r>
      <w:r>
        <w:rPr>
          <w:rFonts w:ascii="Times New Roman" w:hAnsi="Times New Roman" w:eastAsia="宋体" w:cs="Times New Roman"/>
          <w:szCs w:val="21"/>
        </w:rPr>
        <w:t>2013年</w:t>
      </w:r>
      <w:r>
        <w:rPr>
          <w:rFonts w:hint="eastAsia" w:ascii="Times New Roman" w:hAnsi="Times New Roman" w:eastAsia="宋体" w:cs="Times New Roman"/>
          <w:szCs w:val="21"/>
        </w:rPr>
        <w:t xml:space="preserve"> </w:t>
      </w:r>
      <w:r>
        <w:rPr>
          <w:rFonts w:ascii="Times New Roman" w:hAnsi="Times New Roman" w:eastAsia="宋体" w:cs="Times New Roman"/>
          <w:szCs w:val="21"/>
        </w:rPr>
        <w:t>第33号公告）</w:t>
      </w:r>
    </w:p>
    <w:p>
      <w:pPr>
        <w:pStyle w:val="2"/>
        <w:adjustRightInd w:val="0"/>
        <w:snapToGrid w:val="0"/>
        <w:spacing w:before="240" w:beforeLines="100" w:after="240" w:afterLines="100"/>
        <w:textAlignment w:val="center"/>
        <w:rPr>
          <w:rFonts w:ascii="Times New Roman" w:hAnsi="Times New Roman" w:eastAsia="黑体"/>
          <w:b w:val="0"/>
          <w:bCs w:val="0"/>
          <w:kern w:val="2"/>
          <w:sz w:val="21"/>
          <w:szCs w:val="21"/>
          <w:lang w:val="zh-CN"/>
        </w:rPr>
      </w:pPr>
      <w:r>
        <w:rPr>
          <w:rFonts w:ascii="Times New Roman" w:hAnsi="Times New Roman" w:eastAsia="黑体"/>
          <w:b w:val="0"/>
          <w:bCs w:val="0"/>
          <w:kern w:val="2"/>
          <w:sz w:val="21"/>
          <w:szCs w:val="21"/>
          <w:lang w:val="zh-CN"/>
        </w:rPr>
        <w:t>3 术语和定义</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GB/T 20014.14、NY 5070和《清洁生产评价指标体系编制通则》(试行稿)所确立的以及下列术语和定义适用于本指标体系。</w:t>
      </w:r>
    </w:p>
    <w:p>
      <w:pPr>
        <w:spacing w:before="120" w:beforeLines="50" w:after="120" w:afterLines="50"/>
        <w:outlineLvl w:val="1"/>
        <w:rPr>
          <w:rFonts w:ascii="Times New Roman" w:hAnsi="Times New Roman" w:eastAsia="黑体" w:cs="Times New Roman"/>
          <w:bCs/>
          <w:kern w:val="44"/>
          <w:szCs w:val="21"/>
        </w:rPr>
      </w:pPr>
      <w:r>
        <w:rPr>
          <w:rFonts w:ascii="Times New Roman" w:hAnsi="Times New Roman" w:eastAsia="黑体" w:cs="Times New Roman"/>
          <w:bCs/>
          <w:kern w:val="44"/>
          <w:szCs w:val="21"/>
        </w:rPr>
        <w:t>3.1 池塘养殖</w:t>
      </w:r>
    </w:p>
    <w:p>
      <w:pPr>
        <w:spacing w:before="120" w:beforeLines="50" w:after="120" w:afterLines="50"/>
        <w:outlineLvl w:val="1"/>
        <w:rPr>
          <w:rFonts w:ascii="Times New Roman" w:hAnsi="Times New Roman" w:eastAsia="宋体" w:cs="Times New Roman"/>
          <w:szCs w:val="21"/>
        </w:rPr>
      </w:pPr>
      <w:r>
        <w:rPr>
          <w:rFonts w:ascii="Times New Roman" w:hAnsi="Times New Roman" w:cs="Times New Roman"/>
          <w:kern w:val="0"/>
          <w:szCs w:val="21"/>
        </w:rPr>
        <w:t xml:space="preserve">   </w:t>
      </w:r>
      <w:r>
        <w:rPr>
          <w:rFonts w:ascii="Times New Roman" w:hAnsi="Times New Roman" w:eastAsia="宋体" w:cs="Times New Roman"/>
          <w:szCs w:val="21"/>
        </w:rPr>
        <w:t xml:space="preserve"> 利用人工开挖或天然池塘进行水生</w:t>
      </w:r>
      <w:r>
        <w:rPr>
          <w:rFonts w:ascii="Times New Roman" w:hAnsi="Times New Roman" w:eastAsia="黑体" w:cs="Times New Roman"/>
          <w:bCs/>
          <w:kern w:val="44"/>
          <w:szCs w:val="21"/>
        </w:rPr>
        <w:t>经济</w:t>
      </w:r>
      <w:r>
        <w:rPr>
          <w:rFonts w:ascii="Times New Roman" w:hAnsi="Times New Roman" w:eastAsia="宋体" w:cs="Times New Roman"/>
          <w:szCs w:val="21"/>
        </w:rPr>
        <w:t>动物养殖的方式。</w:t>
      </w:r>
    </w:p>
    <w:p>
      <w:pPr>
        <w:spacing w:before="120" w:beforeLines="50" w:after="120" w:afterLines="50"/>
        <w:outlineLvl w:val="1"/>
        <w:rPr>
          <w:rFonts w:ascii="Times New Roman" w:hAnsi="Times New Roman" w:eastAsia="黑体" w:cs="Times New Roman"/>
          <w:bCs/>
          <w:kern w:val="44"/>
          <w:szCs w:val="21"/>
        </w:rPr>
      </w:pPr>
      <w:r>
        <w:rPr>
          <w:rFonts w:ascii="Times New Roman" w:hAnsi="Times New Roman" w:eastAsia="黑体" w:cs="Times New Roman"/>
          <w:bCs/>
          <w:kern w:val="44"/>
          <w:szCs w:val="21"/>
        </w:rPr>
        <w:t>3.</w:t>
      </w:r>
      <w:r>
        <w:rPr>
          <w:rFonts w:hint="eastAsia" w:ascii="Times New Roman" w:hAnsi="Times New Roman" w:eastAsia="黑体" w:cs="Times New Roman"/>
          <w:bCs/>
          <w:kern w:val="44"/>
          <w:szCs w:val="21"/>
        </w:rPr>
        <w:t>2</w:t>
      </w:r>
      <w:r>
        <w:rPr>
          <w:rFonts w:ascii="Times New Roman" w:hAnsi="Times New Roman" w:eastAsia="黑体" w:cs="Times New Roman"/>
          <w:bCs/>
          <w:kern w:val="44"/>
          <w:szCs w:val="21"/>
        </w:rPr>
        <w:t xml:space="preserve"> 渔药残留</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在水产品的任何食用部分中渔药的原型化合物或/和其代谢产物，并包括与药物本体有关残留。</w:t>
      </w:r>
    </w:p>
    <w:p>
      <w:pPr>
        <w:spacing w:before="120" w:beforeLines="50" w:after="120" w:afterLines="50"/>
        <w:outlineLvl w:val="1"/>
        <w:rPr>
          <w:rFonts w:ascii="Times New Roman" w:hAnsi="Times New Roman" w:eastAsia="黑体" w:cs="Times New Roman"/>
          <w:bCs/>
          <w:kern w:val="44"/>
          <w:szCs w:val="21"/>
        </w:rPr>
      </w:pPr>
      <w:r>
        <w:rPr>
          <w:rFonts w:ascii="Times New Roman" w:hAnsi="Times New Roman" w:eastAsia="黑体" w:cs="Times New Roman"/>
          <w:bCs/>
          <w:kern w:val="44"/>
          <w:szCs w:val="21"/>
        </w:rPr>
        <w:t>3.</w:t>
      </w:r>
      <w:r>
        <w:rPr>
          <w:rFonts w:hint="eastAsia" w:ascii="Times New Roman" w:hAnsi="Times New Roman" w:eastAsia="黑体" w:cs="Times New Roman"/>
          <w:bCs/>
          <w:kern w:val="44"/>
          <w:szCs w:val="21"/>
        </w:rPr>
        <w:t>3</w:t>
      </w:r>
      <w:r>
        <w:rPr>
          <w:rFonts w:ascii="Times New Roman" w:hAnsi="Times New Roman" w:eastAsia="黑体" w:cs="Times New Roman"/>
          <w:bCs/>
          <w:kern w:val="44"/>
          <w:szCs w:val="21"/>
        </w:rPr>
        <w:t xml:space="preserve"> 排放水</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从淡水养殖生产企业外排到外界环境中的养殖用水。</w:t>
      </w:r>
    </w:p>
    <w:p>
      <w:pPr>
        <w:pStyle w:val="2"/>
        <w:adjustRightInd w:val="0"/>
        <w:snapToGrid w:val="0"/>
        <w:spacing w:before="240" w:beforeLines="100" w:after="240" w:afterLines="100"/>
        <w:textAlignment w:val="center"/>
        <w:rPr>
          <w:rFonts w:ascii="Times New Roman" w:hAnsi="Times New Roman" w:eastAsia="黑体"/>
          <w:b w:val="0"/>
          <w:bCs w:val="0"/>
          <w:kern w:val="2"/>
          <w:sz w:val="21"/>
          <w:szCs w:val="21"/>
          <w:lang w:val="zh-CN"/>
        </w:rPr>
      </w:pPr>
      <w:r>
        <w:rPr>
          <w:rFonts w:ascii="Times New Roman" w:hAnsi="Times New Roman" w:eastAsia="黑体"/>
          <w:b w:val="0"/>
          <w:bCs w:val="0"/>
          <w:kern w:val="2"/>
          <w:sz w:val="21"/>
          <w:szCs w:val="21"/>
          <w:lang w:val="zh-CN"/>
        </w:rPr>
        <w:t>4 评价指标体系</w:t>
      </w:r>
    </w:p>
    <w:p>
      <w:pPr>
        <w:spacing w:before="120" w:beforeLines="50" w:after="120" w:afterLines="50"/>
        <w:outlineLvl w:val="1"/>
        <w:rPr>
          <w:rFonts w:ascii="Times New Roman" w:hAnsi="Times New Roman" w:eastAsia="黑体" w:cs="Times New Roman"/>
          <w:bCs/>
          <w:kern w:val="44"/>
          <w:szCs w:val="21"/>
        </w:rPr>
      </w:pPr>
      <w:r>
        <w:rPr>
          <w:rFonts w:ascii="Times New Roman" w:hAnsi="Times New Roman" w:eastAsia="黑体" w:cs="Times New Roman"/>
          <w:bCs/>
          <w:kern w:val="44"/>
          <w:szCs w:val="21"/>
        </w:rPr>
        <w:t>4.1 指标选取</w:t>
      </w:r>
    </w:p>
    <w:p>
      <w:pPr>
        <w:autoSpaceDE w:val="0"/>
        <w:autoSpaceDN w:val="0"/>
        <w:adjustRightInd w:val="0"/>
        <w:spacing w:line="360" w:lineRule="auto"/>
        <w:ind w:firstLine="420" w:firstLineChars="200"/>
        <w:jc w:val="left"/>
        <w:rPr>
          <w:rFonts w:ascii="Times New Roman" w:hAnsi="Times New Roman" w:cs="Times New Roman"/>
          <w:kern w:val="0"/>
          <w:szCs w:val="21"/>
        </w:rPr>
      </w:pPr>
      <w:r>
        <w:rPr>
          <w:rFonts w:ascii="Times New Roman" w:hAnsi="Times New Roman" w:cs="Times New Roman"/>
          <w:kern w:val="0"/>
          <w:szCs w:val="21"/>
        </w:rPr>
        <w:t>本指标体系根据清洁生产的原则要求和指标的可度量性，进行指标选取。根据评价指标的性质，可分为定量指标和定性指标两种。</w:t>
      </w:r>
    </w:p>
    <w:p>
      <w:pPr>
        <w:autoSpaceDE w:val="0"/>
        <w:autoSpaceDN w:val="0"/>
        <w:adjustRightInd w:val="0"/>
        <w:spacing w:line="360" w:lineRule="auto"/>
        <w:ind w:firstLine="420" w:firstLineChars="200"/>
        <w:jc w:val="left"/>
        <w:rPr>
          <w:rFonts w:ascii="Times New Roman" w:hAnsi="Times New Roman" w:cs="Times New Roman"/>
          <w:kern w:val="0"/>
          <w:szCs w:val="21"/>
        </w:rPr>
      </w:pPr>
      <w:r>
        <w:rPr>
          <w:rFonts w:ascii="Times New Roman"/>
          <w:szCs w:val="21"/>
        </w:rPr>
        <w:t>定量指标选取了具有代表性、能反映“节能”、“降耗”、“减污”和“增效”等有关清洁生产最终目标的指标，综合考评企业实施清洁生产的状况和企业清洁生产水平。定性指标根据国家有关推行清洁生产的产业发展和技术进步政策、资源环境保护政策规定以及行业发展规划等选取，用于考核企业执行相关法律法规和标准政策情况</w:t>
      </w:r>
      <w:r>
        <w:rPr>
          <w:rFonts w:ascii="Times New Roman" w:hAnsi="Times New Roman" w:cs="Times New Roman"/>
          <w:kern w:val="0"/>
          <w:szCs w:val="21"/>
        </w:rPr>
        <w:t>。</w:t>
      </w:r>
    </w:p>
    <w:p>
      <w:pPr>
        <w:spacing w:before="120" w:beforeLines="50" w:after="120" w:afterLines="50"/>
        <w:outlineLvl w:val="1"/>
        <w:rPr>
          <w:rFonts w:ascii="Times New Roman" w:hAnsi="Times New Roman" w:eastAsia="黑体" w:cs="Times New Roman"/>
          <w:bCs/>
          <w:kern w:val="44"/>
          <w:szCs w:val="21"/>
        </w:rPr>
      </w:pPr>
      <w:r>
        <w:rPr>
          <w:rFonts w:ascii="Times New Roman" w:hAnsi="Times New Roman" w:eastAsia="黑体" w:cs="Times New Roman"/>
          <w:bCs/>
          <w:kern w:val="44"/>
          <w:szCs w:val="21"/>
        </w:rPr>
        <w:t>4.2 指标基准值</w:t>
      </w:r>
    </w:p>
    <w:p>
      <w:pPr>
        <w:pStyle w:val="21"/>
        <w:spacing w:line="300" w:lineRule="auto"/>
        <w:rPr>
          <w:rFonts w:ascii="Times New Roman"/>
          <w:szCs w:val="21"/>
        </w:rPr>
      </w:pPr>
      <w:r>
        <w:rPr>
          <w:rFonts w:ascii="Times New Roman"/>
          <w:szCs w:val="21"/>
        </w:rPr>
        <w:t>各指标的评价基准值是衡量该项指标是否符合清洁生产基本要求的评价基准。在行业清洁生产评价指标体系中，评价基准值分为</w:t>
      </w:r>
      <w:r>
        <w:rPr>
          <w:rFonts w:hint="eastAsia" w:hAnsi="宋体" w:cs="宋体"/>
          <w:szCs w:val="21"/>
        </w:rPr>
        <w:t>Ⅰ</w:t>
      </w:r>
      <w:r>
        <w:rPr>
          <w:rFonts w:ascii="Times New Roman"/>
          <w:szCs w:val="21"/>
        </w:rPr>
        <w:t>级基准值、</w:t>
      </w:r>
      <w:r>
        <w:rPr>
          <w:rFonts w:hint="eastAsia" w:hAnsi="宋体" w:cs="宋体"/>
          <w:szCs w:val="21"/>
        </w:rPr>
        <w:t>Ⅱ</w:t>
      </w:r>
      <w:r>
        <w:rPr>
          <w:rFonts w:ascii="Times New Roman"/>
          <w:szCs w:val="21"/>
        </w:rPr>
        <w:t>级基准值和</w:t>
      </w:r>
      <w:r>
        <w:rPr>
          <w:rFonts w:hint="eastAsia" w:hAnsi="宋体" w:cs="宋体"/>
          <w:szCs w:val="21"/>
        </w:rPr>
        <w:t>Ⅲ</w:t>
      </w:r>
      <w:r>
        <w:rPr>
          <w:rFonts w:ascii="Times New Roman"/>
          <w:szCs w:val="21"/>
        </w:rPr>
        <w:t>级基准值三个等级。其中</w:t>
      </w:r>
      <w:r>
        <w:rPr>
          <w:rFonts w:hint="eastAsia" w:hAnsi="宋体" w:cs="宋体"/>
          <w:szCs w:val="21"/>
        </w:rPr>
        <w:t>Ⅰ</w:t>
      </w:r>
      <w:r>
        <w:rPr>
          <w:rFonts w:ascii="Times New Roman"/>
          <w:szCs w:val="21"/>
        </w:rPr>
        <w:t>级基准值代表国际领先水平值，</w:t>
      </w:r>
      <w:r>
        <w:rPr>
          <w:rFonts w:hint="eastAsia" w:hAnsi="宋体" w:cs="宋体"/>
          <w:szCs w:val="21"/>
        </w:rPr>
        <w:t>Ⅱ</w:t>
      </w:r>
      <w:r>
        <w:rPr>
          <w:rFonts w:ascii="Times New Roman"/>
          <w:szCs w:val="21"/>
        </w:rPr>
        <w:t>级基准值代表国内先进水平值，</w:t>
      </w:r>
      <w:r>
        <w:rPr>
          <w:rFonts w:hint="eastAsia" w:hAnsi="宋体" w:cs="宋体"/>
          <w:szCs w:val="21"/>
        </w:rPr>
        <w:t>Ⅲ</w:t>
      </w:r>
      <w:r>
        <w:rPr>
          <w:rFonts w:ascii="Times New Roman"/>
          <w:szCs w:val="21"/>
        </w:rPr>
        <w:t>级基准值代表国内一般水平。</w:t>
      </w:r>
    </w:p>
    <w:p>
      <w:pPr>
        <w:spacing w:before="120" w:beforeLines="50" w:after="120" w:afterLines="50"/>
        <w:outlineLvl w:val="1"/>
        <w:rPr>
          <w:rFonts w:ascii="Times New Roman" w:hAnsi="Times New Roman" w:eastAsia="黑体" w:cs="Times New Roman"/>
          <w:bCs/>
          <w:kern w:val="44"/>
          <w:szCs w:val="21"/>
        </w:rPr>
      </w:pPr>
      <w:r>
        <w:rPr>
          <w:rFonts w:ascii="Times New Roman" w:hAnsi="Times New Roman" w:eastAsia="黑体" w:cs="Times New Roman"/>
          <w:bCs/>
          <w:kern w:val="44"/>
          <w:szCs w:val="21"/>
        </w:rPr>
        <w:t>4.3 指标体系</w:t>
      </w:r>
    </w:p>
    <w:p>
      <w:pPr>
        <w:spacing w:line="360" w:lineRule="auto"/>
        <w:ind w:firstLine="420" w:firstLineChars="200"/>
        <w:rPr>
          <w:rFonts w:ascii="Times New Roman" w:hAnsi="Times New Roman" w:cs="Times New Roman"/>
          <w:kern w:val="0"/>
          <w:szCs w:val="21"/>
        </w:rPr>
        <w:sectPr>
          <w:footerReference r:id="rId13" w:type="default"/>
          <w:pgSz w:w="11906" w:h="16838"/>
          <w:pgMar w:top="1440" w:right="1800" w:bottom="1440" w:left="1800" w:header="851" w:footer="992" w:gutter="0"/>
          <w:pgNumType w:fmt="decimal" w:start="1"/>
          <w:cols w:space="425" w:num="1"/>
          <w:docGrid w:linePitch="312" w:charSpace="0"/>
        </w:sectPr>
      </w:pPr>
      <w:r>
        <w:rPr>
          <w:rFonts w:ascii="Times New Roman" w:hAnsi="Times New Roman" w:cs="Times New Roman"/>
          <w:kern w:val="0"/>
          <w:szCs w:val="21"/>
        </w:rPr>
        <w:t>淡水养殖企业清洁生产评价指标体系的各评价指标、评价基准值和权重值见表1</w:t>
      </w:r>
    </w:p>
    <w:p>
      <w:pPr>
        <w:jc w:val="left"/>
        <w:rPr>
          <w:rFonts w:ascii="Times New Roman" w:hAnsi="Times New Roman" w:cs="Times New Roman"/>
          <w:b/>
          <w:kern w:val="0"/>
          <w:szCs w:val="21"/>
        </w:rPr>
      </w:pPr>
    </w:p>
    <w:p>
      <w:pPr>
        <w:spacing w:line="300" w:lineRule="auto"/>
        <w:jc w:val="center"/>
        <w:rPr>
          <w:rFonts w:ascii="Times New Roman" w:hAnsi="Times New Roman" w:eastAsia="黑体" w:cs="Times New Roman"/>
          <w:szCs w:val="21"/>
        </w:rPr>
      </w:pPr>
      <w:r>
        <w:rPr>
          <w:rFonts w:ascii="Times New Roman" w:hAnsi="Times New Roman" w:eastAsia="黑体" w:cs="Times New Roman"/>
          <w:szCs w:val="21"/>
        </w:rPr>
        <w:t>表1 淡水养殖企业评价指标项目、权重及基准值</w:t>
      </w:r>
    </w:p>
    <w:p>
      <w:pPr>
        <w:rPr>
          <w:rFonts w:ascii="Times New Roman" w:hAnsi="Times New Roman" w:cs="Times New Roman"/>
          <w:kern w:val="0"/>
          <w:szCs w:val="21"/>
        </w:rPr>
      </w:pPr>
    </w:p>
    <w:tbl>
      <w:tblPr>
        <w:tblStyle w:val="20"/>
        <w:tblW w:w="15368"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82"/>
        <w:gridCol w:w="1097"/>
        <w:gridCol w:w="824"/>
        <w:gridCol w:w="1236"/>
        <w:gridCol w:w="824"/>
        <w:gridCol w:w="851"/>
        <w:gridCol w:w="4110"/>
        <w:gridCol w:w="3138"/>
        <w:gridCol w:w="260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blHeader/>
        </w:trPr>
        <w:tc>
          <w:tcPr>
            <w:tcW w:w="682" w:type="dxa"/>
            <w:vAlign w:val="center"/>
          </w:tcPr>
          <w:p>
            <w:pPr>
              <w:snapToGrid w:val="0"/>
              <w:spacing w:line="276" w:lineRule="auto"/>
              <w:jc w:val="center"/>
              <w:rPr>
                <w:rFonts w:hint="eastAsia" w:ascii="黑体" w:hAnsi="黑体" w:eastAsia="黑体" w:cs="黑体"/>
                <w:sz w:val="18"/>
                <w:szCs w:val="24"/>
              </w:rPr>
            </w:pPr>
            <w:r>
              <w:rPr>
                <w:rFonts w:hint="eastAsia" w:ascii="黑体" w:hAnsi="黑体" w:eastAsia="黑体" w:cs="黑体"/>
                <w:sz w:val="18"/>
                <w:szCs w:val="24"/>
              </w:rPr>
              <w:t>序号</w:t>
            </w:r>
          </w:p>
        </w:tc>
        <w:tc>
          <w:tcPr>
            <w:tcW w:w="1097" w:type="dxa"/>
            <w:vAlign w:val="center"/>
          </w:tcPr>
          <w:p>
            <w:pPr>
              <w:snapToGrid w:val="0"/>
              <w:spacing w:line="276" w:lineRule="auto"/>
              <w:jc w:val="center"/>
              <w:rPr>
                <w:rFonts w:hint="eastAsia" w:ascii="黑体" w:hAnsi="黑体" w:eastAsia="黑体" w:cs="黑体"/>
                <w:sz w:val="18"/>
                <w:szCs w:val="24"/>
              </w:rPr>
            </w:pPr>
            <w:r>
              <w:rPr>
                <w:rFonts w:hint="eastAsia" w:ascii="黑体" w:hAnsi="黑体" w:eastAsia="黑体" w:cs="黑体"/>
                <w:sz w:val="18"/>
                <w:szCs w:val="24"/>
              </w:rPr>
              <w:t>一级指标</w:t>
            </w:r>
          </w:p>
        </w:tc>
        <w:tc>
          <w:tcPr>
            <w:tcW w:w="824" w:type="dxa"/>
            <w:vAlign w:val="center"/>
          </w:tcPr>
          <w:p>
            <w:pPr>
              <w:autoSpaceDE w:val="0"/>
              <w:autoSpaceDN w:val="0"/>
              <w:adjustRightInd w:val="0"/>
              <w:snapToGrid w:val="0"/>
              <w:spacing w:line="276" w:lineRule="auto"/>
              <w:jc w:val="center"/>
              <w:rPr>
                <w:rFonts w:hint="eastAsia" w:ascii="黑体" w:hAnsi="黑体" w:eastAsia="黑体" w:cs="黑体"/>
                <w:sz w:val="18"/>
                <w:szCs w:val="24"/>
              </w:rPr>
            </w:pPr>
            <w:r>
              <w:rPr>
                <w:rFonts w:hint="eastAsia" w:ascii="黑体" w:hAnsi="黑体" w:eastAsia="黑体" w:cs="黑体"/>
                <w:sz w:val="18"/>
                <w:szCs w:val="24"/>
              </w:rPr>
              <w:t>一级指标权重</w:t>
            </w:r>
          </w:p>
        </w:tc>
        <w:tc>
          <w:tcPr>
            <w:tcW w:w="1236" w:type="dxa"/>
            <w:vAlign w:val="center"/>
          </w:tcPr>
          <w:p>
            <w:pPr>
              <w:snapToGrid w:val="0"/>
              <w:spacing w:line="276" w:lineRule="auto"/>
              <w:jc w:val="center"/>
              <w:rPr>
                <w:rFonts w:hint="eastAsia" w:ascii="黑体" w:hAnsi="黑体" w:eastAsia="黑体" w:cs="黑体"/>
                <w:sz w:val="18"/>
                <w:szCs w:val="24"/>
              </w:rPr>
            </w:pPr>
            <w:r>
              <w:rPr>
                <w:rFonts w:hint="eastAsia" w:ascii="黑体" w:hAnsi="黑体" w:eastAsia="黑体" w:cs="黑体"/>
                <w:sz w:val="18"/>
                <w:szCs w:val="24"/>
              </w:rPr>
              <w:t>二级指标</w:t>
            </w:r>
          </w:p>
        </w:tc>
        <w:tc>
          <w:tcPr>
            <w:tcW w:w="824" w:type="dxa"/>
            <w:vAlign w:val="center"/>
          </w:tcPr>
          <w:p>
            <w:pPr>
              <w:snapToGrid w:val="0"/>
              <w:spacing w:line="276" w:lineRule="auto"/>
              <w:jc w:val="center"/>
              <w:rPr>
                <w:rFonts w:hint="eastAsia" w:ascii="黑体" w:hAnsi="黑体" w:eastAsia="黑体" w:cs="黑体"/>
                <w:sz w:val="18"/>
                <w:szCs w:val="24"/>
              </w:rPr>
            </w:pPr>
            <w:r>
              <w:rPr>
                <w:rFonts w:hint="eastAsia" w:ascii="黑体" w:hAnsi="黑体" w:eastAsia="黑体" w:cs="黑体"/>
                <w:sz w:val="18"/>
                <w:szCs w:val="24"/>
              </w:rPr>
              <w:t>单位</w:t>
            </w:r>
          </w:p>
        </w:tc>
        <w:tc>
          <w:tcPr>
            <w:tcW w:w="851" w:type="dxa"/>
            <w:vAlign w:val="center"/>
          </w:tcPr>
          <w:p>
            <w:pPr>
              <w:autoSpaceDE w:val="0"/>
              <w:autoSpaceDN w:val="0"/>
              <w:adjustRightInd w:val="0"/>
              <w:snapToGrid w:val="0"/>
              <w:spacing w:line="276" w:lineRule="auto"/>
              <w:jc w:val="center"/>
              <w:rPr>
                <w:rFonts w:hint="eastAsia" w:ascii="黑体" w:hAnsi="黑体" w:eastAsia="黑体" w:cs="黑体"/>
                <w:sz w:val="18"/>
                <w:szCs w:val="24"/>
              </w:rPr>
            </w:pPr>
            <w:r>
              <w:rPr>
                <w:rFonts w:hint="eastAsia" w:ascii="黑体" w:hAnsi="黑体" w:eastAsia="黑体" w:cs="黑体"/>
                <w:sz w:val="18"/>
                <w:szCs w:val="24"/>
              </w:rPr>
              <w:t>二级指标权重</w:t>
            </w:r>
          </w:p>
        </w:tc>
        <w:tc>
          <w:tcPr>
            <w:tcW w:w="4110" w:type="dxa"/>
            <w:vAlign w:val="center"/>
          </w:tcPr>
          <w:p>
            <w:pPr>
              <w:autoSpaceDE w:val="0"/>
              <w:autoSpaceDN w:val="0"/>
              <w:adjustRightInd w:val="0"/>
              <w:snapToGrid w:val="0"/>
              <w:spacing w:line="276" w:lineRule="auto"/>
              <w:jc w:val="center"/>
              <w:rPr>
                <w:rFonts w:hint="eastAsia" w:ascii="黑体" w:hAnsi="黑体" w:eastAsia="黑体" w:cs="黑体"/>
                <w:sz w:val="18"/>
                <w:szCs w:val="24"/>
              </w:rPr>
            </w:pPr>
            <w:r>
              <w:rPr>
                <w:rFonts w:hint="eastAsia" w:ascii="黑体" w:hAnsi="黑体" w:eastAsia="黑体" w:cs="黑体"/>
                <w:sz w:val="18"/>
                <w:szCs w:val="24"/>
              </w:rPr>
              <w:t>Ⅰ级基准值</w:t>
            </w:r>
          </w:p>
        </w:tc>
        <w:tc>
          <w:tcPr>
            <w:tcW w:w="3138" w:type="dxa"/>
            <w:vAlign w:val="center"/>
          </w:tcPr>
          <w:p>
            <w:pPr>
              <w:snapToGrid w:val="0"/>
              <w:spacing w:line="276" w:lineRule="auto"/>
              <w:jc w:val="center"/>
              <w:rPr>
                <w:rFonts w:hint="eastAsia" w:ascii="黑体" w:hAnsi="黑体" w:eastAsia="黑体" w:cs="黑体"/>
                <w:sz w:val="18"/>
                <w:szCs w:val="24"/>
              </w:rPr>
            </w:pPr>
            <w:r>
              <w:rPr>
                <w:rFonts w:hint="eastAsia" w:ascii="黑体" w:hAnsi="黑体" w:eastAsia="黑体" w:cs="黑体"/>
                <w:sz w:val="18"/>
                <w:szCs w:val="24"/>
              </w:rPr>
              <w:t>Ⅱ级基准值</w:t>
            </w:r>
          </w:p>
        </w:tc>
        <w:tc>
          <w:tcPr>
            <w:tcW w:w="2606" w:type="dxa"/>
            <w:vAlign w:val="center"/>
          </w:tcPr>
          <w:p>
            <w:pPr>
              <w:jc w:val="center"/>
              <w:rPr>
                <w:rFonts w:hint="eastAsia" w:ascii="黑体" w:hAnsi="黑体" w:eastAsia="黑体" w:cs="黑体"/>
                <w:kern w:val="0"/>
                <w:sz w:val="20"/>
                <w:szCs w:val="20"/>
              </w:rPr>
            </w:pPr>
            <w:r>
              <w:rPr>
                <w:rFonts w:hint="eastAsia" w:ascii="黑体" w:hAnsi="黑体" w:eastAsia="黑体" w:cs="黑体"/>
                <w:kern w:val="0"/>
                <w:sz w:val="18"/>
                <w:szCs w:val="18"/>
              </w:rPr>
              <w:t>Ⅲ级基准值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1</w:t>
            </w:r>
          </w:p>
        </w:tc>
        <w:tc>
          <w:tcPr>
            <w:tcW w:w="1097" w:type="dxa"/>
            <w:vMerge w:val="restart"/>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生产工艺与装备指标</w:t>
            </w:r>
          </w:p>
        </w:tc>
        <w:tc>
          <w:tcPr>
            <w:tcW w:w="824" w:type="dxa"/>
            <w:vMerge w:val="restart"/>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0.25</w:t>
            </w: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产地选择</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0.12</w:t>
            </w:r>
          </w:p>
        </w:tc>
        <w:tc>
          <w:tcPr>
            <w:tcW w:w="4110" w:type="dxa"/>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符合NY/T 391的相关要求</w:t>
            </w:r>
          </w:p>
        </w:tc>
        <w:tc>
          <w:tcPr>
            <w:tcW w:w="5744" w:type="dxa"/>
            <w:gridSpan w:val="2"/>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符合NY 5361的相关要求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2</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水源选择</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0.13</w:t>
            </w:r>
          </w:p>
        </w:tc>
        <w:tc>
          <w:tcPr>
            <w:tcW w:w="4110" w:type="dxa"/>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氨氮≤0.5mg/L；其余指标符合GB 11607相关要求</w:t>
            </w:r>
          </w:p>
        </w:tc>
        <w:tc>
          <w:tcPr>
            <w:tcW w:w="5744" w:type="dxa"/>
            <w:gridSpan w:val="2"/>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符合GB 11607的相关要求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3</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进排水设施</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0.10</w:t>
            </w:r>
          </w:p>
        </w:tc>
        <w:tc>
          <w:tcPr>
            <w:tcW w:w="4110"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有相应的进水和排水处理措施；进排水系统分开，进水口位于排水口上游，并远离排水口</w:t>
            </w:r>
          </w:p>
        </w:tc>
        <w:tc>
          <w:tcPr>
            <w:tcW w:w="3138"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有相应的排出水处理措施；进排水系统分开，进水口远离排水口</w:t>
            </w:r>
          </w:p>
        </w:tc>
        <w:tc>
          <w:tcPr>
            <w:tcW w:w="2606" w:type="dxa"/>
            <w:vAlign w:val="center"/>
          </w:tcPr>
          <w:p>
            <w:pP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进排水系统分开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4</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生产基础设施</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0.11</w:t>
            </w:r>
          </w:p>
        </w:tc>
        <w:tc>
          <w:tcPr>
            <w:tcW w:w="4110"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水产养殖场平面示意图详实，应包含养殖区、生活区及相关设施的相对位置； 配电设施符合电力配置标准，与生产有关的电气设备应做好准用标记；场内配有绿化，环境整洁，在相应地点拥有明显警示标志</w:t>
            </w:r>
          </w:p>
        </w:tc>
        <w:tc>
          <w:tcPr>
            <w:tcW w:w="3138"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有水产养殖场平面示意图；配电设施符合相关标准；场区内环境整洁，在相应地点拥有明显警示标志</w:t>
            </w:r>
          </w:p>
        </w:tc>
        <w:tc>
          <w:tcPr>
            <w:tcW w:w="2606" w:type="dxa"/>
            <w:vAlign w:val="center"/>
          </w:tcPr>
          <w:p>
            <w:pP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配电设施符合相关标准；场区内环境整洁</w:t>
            </w:r>
          </w:p>
          <w:p>
            <w:pPr>
              <w:rPr>
                <w:rFonts w:hint="eastAsia" w:asciiTheme="minorEastAsia" w:hAnsiTheme="minorEastAsia" w:eastAsiaTheme="minorEastAsia" w:cstheme="minorEastAsia"/>
                <w:sz w:val="18"/>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5</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生产基础设备</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0.13</w:t>
            </w:r>
          </w:p>
        </w:tc>
        <w:tc>
          <w:tcPr>
            <w:tcW w:w="4110"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投饵机、增氧机等基本养殖设备配置完备；设备具备自动化、信息化功能，采用太阳能等节能措施；主要设备标注用途，制作操作规程</w:t>
            </w:r>
          </w:p>
        </w:tc>
        <w:tc>
          <w:tcPr>
            <w:tcW w:w="3138"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投饵机、增氧机等基本养殖设备配置完备；主要设备制定操作规程</w:t>
            </w:r>
          </w:p>
        </w:tc>
        <w:tc>
          <w:tcPr>
            <w:tcW w:w="2606" w:type="dxa"/>
            <w:vAlign w:val="center"/>
          </w:tcPr>
          <w:p>
            <w:pP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配备投饵机等基本养殖设备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6</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检测仪器装备</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0.10</w:t>
            </w:r>
          </w:p>
        </w:tc>
        <w:tc>
          <w:tcPr>
            <w:tcW w:w="4110"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配备在线水质检测仪器设备和病害诊断系统；主要设备标注用途，制作操作规程；有定期清洁保养记录</w:t>
            </w:r>
          </w:p>
        </w:tc>
        <w:tc>
          <w:tcPr>
            <w:tcW w:w="3138"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 xml:space="preserve">有水质检测仪器设备；制作操作规程 </w:t>
            </w:r>
          </w:p>
        </w:tc>
        <w:tc>
          <w:tcPr>
            <w:tcW w:w="2606" w:type="dxa"/>
            <w:vAlign w:val="center"/>
          </w:tcPr>
          <w:p>
            <w:pP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有简易检测仪器设备。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7</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水质控制</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0.13</w:t>
            </w:r>
          </w:p>
        </w:tc>
        <w:tc>
          <w:tcPr>
            <w:tcW w:w="4110"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每天测量水温、溶解氧、PH值等指标；养殖用水符合NY 5051的相关要求；对取水水源水质进行监控</w:t>
            </w:r>
          </w:p>
        </w:tc>
        <w:tc>
          <w:tcPr>
            <w:tcW w:w="3138"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定期测量水温、溶解氧、PH值等指标；养殖用水符合NY5051的要求</w:t>
            </w:r>
          </w:p>
        </w:tc>
        <w:tc>
          <w:tcPr>
            <w:tcW w:w="2606" w:type="dxa"/>
            <w:vAlign w:val="center"/>
          </w:tcPr>
          <w:p>
            <w:pP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养殖用水应符合NY 5051的要求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8</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处理净化</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0.18</w:t>
            </w:r>
          </w:p>
        </w:tc>
        <w:tc>
          <w:tcPr>
            <w:tcW w:w="4110" w:type="dxa"/>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采用了具有减排效果的生产工艺，对排放水和固体废弃物均有处理收集措施</w:t>
            </w:r>
          </w:p>
        </w:tc>
        <w:tc>
          <w:tcPr>
            <w:tcW w:w="5744" w:type="dxa"/>
            <w:gridSpan w:val="2"/>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采用了具有减排效果的生产工艺，对排放水有处理措施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9</w:t>
            </w:r>
          </w:p>
        </w:tc>
        <w:tc>
          <w:tcPr>
            <w:tcW w:w="1097" w:type="dxa"/>
            <w:vMerge w:val="restart"/>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资源能源消耗指标</w:t>
            </w:r>
          </w:p>
        </w:tc>
        <w:tc>
          <w:tcPr>
            <w:tcW w:w="824" w:type="dxa"/>
            <w:vMerge w:val="restart"/>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0.15</w:t>
            </w: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补充水量</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m</w:t>
            </w:r>
            <w:r>
              <w:rPr>
                <w:rFonts w:hint="eastAsia" w:asciiTheme="minorEastAsia" w:hAnsiTheme="minorEastAsia" w:eastAsiaTheme="minorEastAsia" w:cstheme="minorEastAsia"/>
                <w:sz w:val="18"/>
                <w:szCs w:val="24"/>
                <w:vertAlign w:val="superscript"/>
              </w:rPr>
              <w:t>3</w:t>
            </w:r>
            <w:r>
              <w:rPr>
                <w:rFonts w:hint="eastAsia" w:asciiTheme="minorEastAsia" w:hAnsiTheme="minorEastAsia" w:eastAsiaTheme="minorEastAsia" w:cstheme="minorEastAsia"/>
                <w:sz w:val="18"/>
                <w:szCs w:val="24"/>
              </w:rPr>
              <w:t>/kg</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0.40</w:t>
            </w:r>
          </w:p>
        </w:tc>
        <w:tc>
          <w:tcPr>
            <w:tcW w:w="4110"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≤0.5</w:t>
            </w:r>
          </w:p>
        </w:tc>
        <w:tc>
          <w:tcPr>
            <w:tcW w:w="3138"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≤3</w:t>
            </w:r>
          </w:p>
        </w:tc>
        <w:tc>
          <w:tcPr>
            <w:tcW w:w="2606" w:type="dxa"/>
            <w:vAlign w:val="center"/>
          </w:tcPr>
          <w:p>
            <w:pP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10</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饲料系数</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0.40</w:t>
            </w:r>
          </w:p>
        </w:tc>
        <w:tc>
          <w:tcPr>
            <w:tcW w:w="4110"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≤1.2</w:t>
            </w:r>
          </w:p>
        </w:tc>
        <w:tc>
          <w:tcPr>
            <w:tcW w:w="3138"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≤1.5</w:t>
            </w:r>
          </w:p>
        </w:tc>
        <w:tc>
          <w:tcPr>
            <w:tcW w:w="2606" w:type="dxa"/>
            <w:vAlign w:val="center"/>
          </w:tcPr>
          <w:p>
            <w:pP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11</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电耗</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kwh/kg</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0.20</w:t>
            </w:r>
          </w:p>
        </w:tc>
        <w:tc>
          <w:tcPr>
            <w:tcW w:w="4110"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≤0.2</w:t>
            </w:r>
          </w:p>
        </w:tc>
        <w:tc>
          <w:tcPr>
            <w:tcW w:w="3138"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≤0.7</w:t>
            </w:r>
          </w:p>
        </w:tc>
        <w:tc>
          <w:tcPr>
            <w:tcW w:w="2606" w:type="dxa"/>
            <w:vAlign w:val="center"/>
          </w:tcPr>
          <w:p>
            <w:pP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12</w:t>
            </w:r>
          </w:p>
        </w:tc>
        <w:tc>
          <w:tcPr>
            <w:tcW w:w="1097" w:type="dxa"/>
            <w:vMerge w:val="restart"/>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资源综合利用指标</w:t>
            </w:r>
          </w:p>
        </w:tc>
        <w:tc>
          <w:tcPr>
            <w:tcW w:w="824" w:type="dxa"/>
            <w:vMerge w:val="restart"/>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0.15</w:t>
            </w: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排放水</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0.64</w:t>
            </w:r>
          </w:p>
        </w:tc>
        <w:tc>
          <w:tcPr>
            <w:tcW w:w="4110"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养殖水循环利用，全过程不外排</w:t>
            </w:r>
          </w:p>
        </w:tc>
        <w:tc>
          <w:tcPr>
            <w:tcW w:w="3138"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养殖水日常循环利用，仅清塘时经净化处理后排放</w:t>
            </w:r>
          </w:p>
        </w:tc>
        <w:tc>
          <w:tcPr>
            <w:tcW w:w="2606" w:type="dxa"/>
            <w:vAlign w:val="center"/>
          </w:tcPr>
          <w:p>
            <w:pP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18"/>
                <w:szCs w:val="24"/>
              </w:rPr>
              <w:t>养殖水定期经净化处理后排放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13</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淤泥利用</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0.36</w:t>
            </w:r>
          </w:p>
        </w:tc>
        <w:tc>
          <w:tcPr>
            <w:tcW w:w="4110"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采用无害化处理，综合利用</w:t>
            </w:r>
          </w:p>
        </w:tc>
        <w:tc>
          <w:tcPr>
            <w:tcW w:w="5744" w:type="dxa"/>
            <w:gridSpan w:val="2"/>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采用无害化处理，不对环境产生影响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14</w:t>
            </w:r>
          </w:p>
        </w:tc>
        <w:tc>
          <w:tcPr>
            <w:tcW w:w="1097" w:type="dxa"/>
            <w:vMerge w:val="restart"/>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污染物产生指标</w:t>
            </w:r>
          </w:p>
        </w:tc>
        <w:tc>
          <w:tcPr>
            <w:tcW w:w="824" w:type="dxa"/>
            <w:vMerge w:val="restart"/>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0.2</w:t>
            </w: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死亡水产品处理</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0.2</w:t>
            </w:r>
          </w:p>
        </w:tc>
        <w:tc>
          <w:tcPr>
            <w:tcW w:w="9854" w:type="dxa"/>
            <w:gridSpan w:val="3"/>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对死鱼及时进行无害化处理，不对公共环境卫生和养殖水体构成危害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15</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*排放水水质</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0.8</w:t>
            </w:r>
          </w:p>
        </w:tc>
        <w:tc>
          <w:tcPr>
            <w:tcW w:w="4110"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达到SC/T  9101一级标准</w:t>
            </w:r>
          </w:p>
        </w:tc>
        <w:tc>
          <w:tcPr>
            <w:tcW w:w="5744" w:type="dxa"/>
            <w:gridSpan w:val="2"/>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达到SC/T  9101二级标准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16</w:t>
            </w:r>
          </w:p>
        </w:tc>
        <w:tc>
          <w:tcPr>
            <w:tcW w:w="1097" w:type="dxa"/>
            <w:vMerge w:val="restart"/>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产品特征指标</w:t>
            </w:r>
          </w:p>
        </w:tc>
        <w:tc>
          <w:tcPr>
            <w:tcW w:w="824" w:type="dxa"/>
            <w:vMerge w:val="restart"/>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0.15</w:t>
            </w: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*渔药残留</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0.3</w:t>
            </w:r>
          </w:p>
        </w:tc>
        <w:tc>
          <w:tcPr>
            <w:tcW w:w="4110"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达到NY/T 840、NY/T 841、NY/T 842的相关要求</w:t>
            </w:r>
          </w:p>
        </w:tc>
        <w:tc>
          <w:tcPr>
            <w:tcW w:w="5744" w:type="dxa"/>
            <w:gridSpan w:val="2"/>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达到NY 5070的相关要求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17</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*有毒有害物质限量</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0.3</w:t>
            </w:r>
          </w:p>
        </w:tc>
        <w:tc>
          <w:tcPr>
            <w:tcW w:w="4110"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达到NY/T 840、NY/T 841、NY/T 842的相关要求</w:t>
            </w:r>
          </w:p>
        </w:tc>
        <w:tc>
          <w:tcPr>
            <w:tcW w:w="5744" w:type="dxa"/>
            <w:gridSpan w:val="2"/>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达到NY 5073的相关要求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18</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*感官要求</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0.3</w:t>
            </w:r>
          </w:p>
        </w:tc>
        <w:tc>
          <w:tcPr>
            <w:tcW w:w="9854" w:type="dxa"/>
            <w:gridSpan w:val="3"/>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产品符合GB 2733的相关要求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19</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包装和运输</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w:t>
            </w:r>
          </w:p>
        </w:tc>
        <w:tc>
          <w:tcPr>
            <w:tcW w:w="9854" w:type="dxa"/>
            <w:gridSpan w:val="3"/>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收获用具和盛装用具、运输工具等于养殖品接触表面应保持洁净、无污染和无异味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20</w:t>
            </w:r>
          </w:p>
        </w:tc>
        <w:tc>
          <w:tcPr>
            <w:tcW w:w="1097" w:type="dxa"/>
            <w:vMerge w:val="restart"/>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清洁生产管理指标</w:t>
            </w:r>
          </w:p>
        </w:tc>
        <w:tc>
          <w:tcPr>
            <w:tcW w:w="824" w:type="dxa"/>
            <w:vMerge w:val="restart"/>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w:t>
            </w: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*环保法律法规执行情况</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0.2</w:t>
            </w:r>
          </w:p>
        </w:tc>
        <w:tc>
          <w:tcPr>
            <w:tcW w:w="9854" w:type="dxa"/>
            <w:gridSpan w:val="3"/>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符合国家和地方有关环境法律、法规，企业污染物排放总量及能源消耗总量满足国家及地方政府相关标准，满足环评批复、环保“三同时”制度、总量控制和排污许可证管理要求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21</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*产业政策符合性</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0.2</w:t>
            </w:r>
          </w:p>
        </w:tc>
        <w:tc>
          <w:tcPr>
            <w:tcW w:w="9854" w:type="dxa"/>
            <w:gridSpan w:val="3"/>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生产规模符合国家和地方相关产业政策，不采用国家明令禁止和淘汰的生产工艺、装备，未生产国家明令禁止的产品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22</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清洁生产管理</w:t>
            </w:r>
          </w:p>
        </w:tc>
        <w:tc>
          <w:tcPr>
            <w:tcW w:w="824" w:type="dxa"/>
            <w:vAlign w:val="center"/>
          </w:tcPr>
          <w:p>
            <w:pPr>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0.05</w:t>
            </w:r>
          </w:p>
        </w:tc>
        <w:tc>
          <w:tcPr>
            <w:tcW w:w="9854" w:type="dxa"/>
            <w:gridSpan w:val="3"/>
            <w:vAlign w:val="center"/>
          </w:tcPr>
          <w:p>
            <w:pP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建有专门负责清洁生产的领导机构，各成员单位及主管人员职责分工明确；有健全的清洁生产管理制度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23</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*投入品管理</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0.15</w:t>
            </w:r>
          </w:p>
        </w:tc>
        <w:tc>
          <w:tcPr>
            <w:tcW w:w="4110" w:type="dxa"/>
            <w:tcBorders>
              <w:right w:val="single" w:color="auto" w:sz="4" w:space="0"/>
            </w:tcBorders>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不使用渔药或使用的渔药符合NY/T 755的规定；使用配合饲料，且使用的饲料符合NY 2112的规定</w:t>
            </w:r>
          </w:p>
        </w:tc>
        <w:tc>
          <w:tcPr>
            <w:tcW w:w="3138" w:type="dxa"/>
            <w:tcBorders>
              <w:left w:val="single" w:color="auto" w:sz="4" w:space="0"/>
              <w:right w:val="single" w:color="auto" w:sz="4" w:space="0"/>
            </w:tcBorders>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渔药使用符合NY 5071的规定；使用配合饲料，且使用的饲料符合《饲料和饲料添加剂管理条例》和NY 5072的规定</w:t>
            </w:r>
          </w:p>
        </w:tc>
        <w:tc>
          <w:tcPr>
            <w:tcW w:w="2606" w:type="dxa"/>
            <w:tcBorders>
              <w:left w:val="single" w:color="auto" w:sz="4" w:space="0"/>
            </w:tcBorders>
            <w:vAlign w:val="center"/>
          </w:tcPr>
          <w:p>
            <w:pPr>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渔药使用符合NY 5071的规定；渔用饲料符合《饲料和饲料添加剂管理条例》和NY 5072的规定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24</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检验管理</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0.05</w:t>
            </w:r>
          </w:p>
        </w:tc>
        <w:tc>
          <w:tcPr>
            <w:tcW w:w="4110" w:type="dxa"/>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定期开展水产苗种药残和疫病抽检，数据记录详细完整准确并妥善保存近3年的记录</w:t>
            </w:r>
          </w:p>
        </w:tc>
        <w:tc>
          <w:tcPr>
            <w:tcW w:w="3138" w:type="dxa"/>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定期开展水产苗种药残和疫病抽检，数据记录详细完整准确</w:t>
            </w:r>
          </w:p>
        </w:tc>
        <w:tc>
          <w:tcPr>
            <w:tcW w:w="2606" w:type="dxa"/>
            <w:vAlign w:val="center"/>
          </w:tcPr>
          <w:p>
            <w:pPr>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不定期开展水产苗种药残和疫病抽检，数据记录详细完整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25</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污染物排放监测</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0.05</w:t>
            </w:r>
          </w:p>
        </w:tc>
        <w:tc>
          <w:tcPr>
            <w:tcW w:w="4110" w:type="dxa"/>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定期自行开展排放水监测，数据记录详细完整准确并妥善保存近3年的记录</w:t>
            </w:r>
          </w:p>
        </w:tc>
        <w:tc>
          <w:tcPr>
            <w:tcW w:w="3138" w:type="dxa"/>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定期开展排放水监测，数据记录详细完整准确</w:t>
            </w:r>
          </w:p>
        </w:tc>
        <w:tc>
          <w:tcPr>
            <w:tcW w:w="2606" w:type="dxa"/>
            <w:vAlign w:val="center"/>
          </w:tcPr>
          <w:p>
            <w:pPr>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开展排放水监测，数据记录详细完整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26</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*危险化学品管理</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0.1</w:t>
            </w:r>
          </w:p>
        </w:tc>
        <w:tc>
          <w:tcPr>
            <w:tcW w:w="9854" w:type="dxa"/>
            <w:gridSpan w:val="3"/>
            <w:vAlign w:val="center"/>
          </w:tcPr>
          <w:p>
            <w:pP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符合《危险化学品安全管理条例》相关要求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27</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计量器具配备情况</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0.05</w:t>
            </w:r>
          </w:p>
        </w:tc>
        <w:tc>
          <w:tcPr>
            <w:tcW w:w="9854" w:type="dxa"/>
            <w:gridSpan w:val="3"/>
            <w:vAlign w:val="center"/>
          </w:tcPr>
          <w:p>
            <w:pP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计量器具配备满足符合国家标准GB 17167、GB 24789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28</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生产管理</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0.05</w:t>
            </w:r>
          </w:p>
        </w:tc>
        <w:tc>
          <w:tcPr>
            <w:tcW w:w="4110" w:type="dxa"/>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通过ISO9001等质量体系认证，具有较高的规范管理水平，生产记录内容详细完整准确并妥善保管</w:t>
            </w:r>
          </w:p>
        </w:tc>
        <w:tc>
          <w:tcPr>
            <w:tcW w:w="3138" w:type="dxa"/>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养殖产品生产流程实现可追溯，生产记录内容详细完整准确并妥善保管</w:t>
            </w:r>
          </w:p>
        </w:tc>
        <w:tc>
          <w:tcPr>
            <w:tcW w:w="2606" w:type="dxa"/>
            <w:vAlign w:val="center"/>
          </w:tcPr>
          <w:p>
            <w:pPr>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制定养殖品种操作规范，并严格执行。生产记录内容详细完整准确并妥善保管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29</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应急管理理</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0.05</w:t>
            </w:r>
          </w:p>
        </w:tc>
        <w:tc>
          <w:tcPr>
            <w:tcW w:w="4110" w:type="dxa"/>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配备书面应急预案，包括发生停电、停水、火灾、化学药品或突发性污染等事件时应采取的措施；开展应急演练</w:t>
            </w:r>
          </w:p>
        </w:tc>
        <w:tc>
          <w:tcPr>
            <w:tcW w:w="5744" w:type="dxa"/>
            <w:gridSpan w:val="2"/>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配备书面应急预案，包括发生停电、停水、火灾、化学药品或突发性污染等事件时应采取的措施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682"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30</w:t>
            </w:r>
          </w:p>
        </w:tc>
        <w:tc>
          <w:tcPr>
            <w:tcW w:w="1097"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824" w:type="dxa"/>
            <w:vMerge w:val="continue"/>
            <w:vAlign w:val="center"/>
          </w:tcPr>
          <w:p>
            <w:pPr>
              <w:snapToGrid w:val="0"/>
              <w:spacing w:line="276" w:lineRule="auto"/>
              <w:jc w:val="center"/>
              <w:rPr>
                <w:rFonts w:hint="eastAsia" w:asciiTheme="minorEastAsia" w:hAnsiTheme="minorEastAsia" w:eastAsiaTheme="minorEastAsia" w:cstheme="minorEastAsia"/>
                <w:sz w:val="18"/>
                <w:szCs w:val="24"/>
              </w:rPr>
            </w:pPr>
          </w:p>
        </w:tc>
        <w:tc>
          <w:tcPr>
            <w:tcW w:w="1236"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人员管理</w:t>
            </w:r>
          </w:p>
        </w:tc>
        <w:tc>
          <w:tcPr>
            <w:tcW w:w="824"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w:t>
            </w:r>
          </w:p>
        </w:tc>
        <w:tc>
          <w:tcPr>
            <w:tcW w:w="851" w:type="dxa"/>
            <w:vAlign w:val="center"/>
          </w:tcPr>
          <w:p>
            <w:pPr>
              <w:snapToGrid w:val="0"/>
              <w:spacing w:line="276" w:lineRule="auto"/>
              <w:jc w:val="cente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0.05</w:t>
            </w:r>
          </w:p>
        </w:tc>
        <w:tc>
          <w:tcPr>
            <w:tcW w:w="4110" w:type="dxa"/>
            <w:vAlign w:val="center"/>
          </w:tcPr>
          <w:p>
            <w:pPr>
              <w:snapToGrid w:val="0"/>
              <w:spacing w:line="276" w:lineRule="auto"/>
              <w:jc w:val="left"/>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取得职业资格证书的技术操作工人占工人总数15%以上；有完善的员工健康安全计划，并开展适宜的培训或指导</w:t>
            </w:r>
          </w:p>
        </w:tc>
        <w:tc>
          <w:tcPr>
            <w:tcW w:w="3138" w:type="dxa"/>
            <w:vAlign w:val="center"/>
          </w:tcPr>
          <w:p>
            <w:pPr>
              <w:snapToGrid w:val="0"/>
              <w:spacing w:line="276" w:lineRule="auto"/>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有完善的员工健康安全计划，并开展适宜的培训或指导</w:t>
            </w:r>
          </w:p>
        </w:tc>
        <w:tc>
          <w:tcPr>
            <w:tcW w:w="2606" w:type="dxa"/>
            <w:vAlign w:val="center"/>
          </w:tcPr>
          <w:p>
            <w:pPr>
              <w:rPr>
                <w:rFonts w:hint="eastAsia" w:asciiTheme="minorEastAsia" w:hAnsiTheme="minorEastAsia" w:eastAsiaTheme="minorEastAsia" w:cstheme="minorEastAsia"/>
                <w:sz w:val="18"/>
                <w:szCs w:val="24"/>
              </w:rPr>
            </w:pPr>
            <w:r>
              <w:rPr>
                <w:rFonts w:hint="eastAsia" w:asciiTheme="minorEastAsia" w:hAnsiTheme="minorEastAsia" w:eastAsiaTheme="minorEastAsia" w:cstheme="minorEastAsia"/>
                <w:sz w:val="18"/>
                <w:szCs w:val="24"/>
              </w:rPr>
              <w:t>员工熟悉养殖场的员工卫生标准</w:t>
            </w:r>
          </w:p>
        </w:tc>
      </w:tr>
    </w:tbl>
    <w:p>
      <w:pP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rPr>
        <w:t>注：带*的为限定性指标</w:t>
      </w:r>
    </w:p>
    <w:p>
      <w:pPr>
        <w:rPr>
          <w:rFonts w:ascii="Times New Roman" w:hAnsi="Times New Roman" w:cs="Times New Roman"/>
        </w:rPr>
        <w:sectPr>
          <w:pgSz w:w="16838" w:h="11906" w:orient="landscape"/>
          <w:pgMar w:top="720" w:right="720" w:bottom="720" w:left="720" w:header="851" w:footer="992" w:gutter="0"/>
          <w:pgNumType w:fmt="decimal"/>
          <w:cols w:space="0" w:num="1"/>
          <w:docGrid w:linePitch="312" w:charSpace="0"/>
        </w:sectPr>
      </w:pPr>
    </w:p>
    <w:p>
      <w:pPr>
        <w:pStyle w:val="2"/>
        <w:adjustRightInd w:val="0"/>
        <w:snapToGrid w:val="0"/>
        <w:spacing w:before="240" w:beforeLines="100" w:after="240" w:afterLines="100" w:line="300" w:lineRule="auto"/>
        <w:textAlignment w:val="center"/>
        <w:rPr>
          <w:rFonts w:ascii="Times New Roman" w:hAnsi="Times New Roman" w:eastAsia="黑体"/>
          <w:b w:val="0"/>
          <w:bCs w:val="0"/>
          <w:kern w:val="2"/>
          <w:sz w:val="21"/>
          <w:szCs w:val="21"/>
          <w:lang w:val="zh-CN"/>
        </w:rPr>
      </w:pPr>
      <w:bookmarkStart w:id="0" w:name="_Toc440985565"/>
      <w:r>
        <w:rPr>
          <w:rFonts w:ascii="Times New Roman" w:hAnsi="Times New Roman" w:eastAsia="黑体"/>
          <w:b w:val="0"/>
          <w:bCs w:val="0"/>
          <w:kern w:val="2"/>
          <w:sz w:val="21"/>
          <w:szCs w:val="21"/>
        </w:rPr>
        <w:t>5</w:t>
      </w:r>
      <w:r>
        <w:rPr>
          <w:rFonts w:ascii="Times New Roman" w:hAnsi="Times New Roman" w:eastAsia="黑体"/>
          <w:b w:val="0"/>
          <w:bCs w:val="0"/>
          <w:kern w:val="2"/>
          <w:sz w:val="21"/>
          <w:szCs w:val="21"/>
          <w:lang w:val="zh-CN"/>
        </w:rPr>
        <w:t xml:space="preserve"> 评价方法</w:t>
      </w:r>
      <w:bookmarkEnd w:id="0"/>
    </w:p>
    <w:p>
      <w:pPr>
        <w:spacing w:before="120" w:beforeLines="50" w:after="120" w:afterLines="50" w:line="300" w:lineRule="auto"/>
        <w:outlineLvl w:val="1"/>
        <w:rPr>
          <w:rFonts w:ascii="Times New Roman" w:hAnsi="Times New Roman" w:eastAsia="黑体" w:cs="Times New Roman"/>
          <w:bCs/>
          <w:kern w:val="44"/>
          <w:szCs w:val="21"/>
        </w:rPr>
      </w:pPr>
      <w:r>
        <w:rPr>
          <w:rFonts w:ascii="Times New Roman" w:hAnsi="Times New Roman" w:eastAsia="黑体" w:cs="Times New Roman"/>
          <w:bCs/>
          <w:kern w:val="44"/>
          <w:szCs w:val="21"/>
        </w:rPr>
        <w:t>5.1 指标无量纲化</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 xml:space="preserve">不同清洁生产由于指标不同，不能直接比较，需要建立原始指标的隶属函数。 </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 xml:space="preserve"> </w:t>
      </w:r>
    </w:p>
    <w:p>
      <w:pPr>
        <w:spacing w:line="300" w:lineRule="auto"/>
        <w:ind w:firstLine="420" w:firstLineChars="200"/>
        <w:jc w:val="right"/>
        <w:rPr>
          <w:rFonts w:ascii="Times New Roman" w:hAnsi="Times New Roman" w:cs="Times New Roman"/>
        </w:rPr>
      </w:pPr>
      <w:r>
        <w:rPr>
          <w:rFonts w:ascii="Times New Roman" w:hAnsi="Times New Roman" w:cs="Times New Roman"/>
          <w:position w:val="-34"/>
        </w:rPr>
        <w:object>
          <v:shape id="_x0000_i1025" o:spt="75" type="#_x0000_t75" style="height:39.75pt;width:114.7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ascii="Times New Roman" w:hAnsi="Times New Roman" w:cs="Times New Roman"/>
        </w:rPr>
        <w:t xml:space="preserve">                                   （5-1）</w:t>
      </w:r>
    </w:p>
    <w:p>
      <w:pPr>
        <w:pStyle w:val="32"/>
        <w:spacing w:line="300" w:lineRule="auto"/>
        <w:ind w:firstLine="420"/>
        <w:rPr>
          <w:rFonts w:ascii="Times New Roman" w:hAnsi="Times New Roman" w:cs="Times New Roman"/>
          <w:kern w:val="0"/>
          <w:sz w:val="21"/>
          <w:szCs w:val="21"/>
        </w:rPr>
      </w:pPr>
      <w:r>
        <w:rPr>
          <w:rFonts w:ascii="Times New Roman" w:hAnsi="Times New Roman" w:cs="Times New Roman"/>
          <w:kern w:val="0"/>
          <w:sz w:val="21"/>
          <w:szCs w:val="21"/>
        </w:rPr>
        <w:t>式中：</w:t>
      </w:r>
      <w:r>
        <w:rPr>
          <w:rFonts w:ascii="Times New Roman" w:hAnsi="Times New Roman" w:cs="Times New Roman"/>
          <w:kern w:val="0"/>
          <w:position w:val="-12"/>
          <w:sz w:val="21"/>
          <w:szCs w:val="21"/>
        </w:rPr>
        <w:object>
          <v:shape id="_x0000_i1026" o:spt="75" type="#_x0000_t75" style="height:18.75pt;width:18.75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r>
        <w:rPr>
          <w:rFonts w:ascii="Times New Roman" w:hAnsi="Times New Roman" w:cs="Times New Roman"/>
          <w:szCs w:val="21"/>
        </w:rPr>
        <w:t>——</w:t>
      </w:r>
      <w:r>
        <w:rPr>
          <w:rFonts w:ascii="Times New Roman" w:hAnsi="Times New Roman" w:cs="Times New Roman"/>
          <w:sz w:val="21"/>
          <w:szCs w:val="21"/>
        </w:rPr>
        <w:t>为第</w:t>
      </w:r>
      <w:r>
        <w:rPr>
          <w:rFonts w:ascii="Times New Roman" w:hAnsi="Times New Roman" w:cs="Times New Roman"/>
          <w:kern w:val="0"/>
          <w:sz w:val="21"/>
          <w:szCs w:val="21"/>
        </w:rPr>
        <w:object>
          <v:shape id="_x0000_i1027" o:spt="75" type="#_x0000_t75" style="height:12.75pt;width:6.75pt;" o:ole="t" filled="f" o:preferrelative="t" stroked="f" coordsize="21600,21600">
            <v:path/>
            <v:fill on="f" focussize="0,0"/>
            <v:stroke on="f" joinstyle="miter"/>
            <v:imagedata r:id="rId20" o:title=""/>
            <o:lock v:ext="edit" aspectratio="t"/>
            <w10:wrap type="none"/>
            <w10:anchorlock/>
          </v:shape>
          <o:OLEObject Type="Embed" ProgID="Equation.3" ShapeID="_x0000_i1027" DrawAspect="Content" ObjectID="_1468075727" r:id="rId19">
            <o:LockedField>false</o:LockedField>
          </o:OLEObject>
        </w:object>
      </w:r>
      <w:r>
        <w:rPr>
          <w:rFonts w:ascii="Times New Roman" w:hAnsi="Times New Roman" w:cs="Times New Roman"/>
          <w:kern w:val="0"/>
          <w:sz w:val="21"/>
          <w:szCs w:val="21"/>
        </w:rPr>
        <w:t>个一级指标下的第</w:t>
      </w:r>
      <w:r>
        <w:rPr>
          <w:rFonts w:ascii="Times New Roman" w:hAnsi="Times New Roman" w:cs="Times New Roman"/>
          <w:kern w:val="0"/>
          <w:sz w:val="21"/>
          <w:szCs w:val="21"/>
        </w:rPr>
        <w:object>
          <v:shape id="_x0000_i1028" o:spt="75" type="#_x0000_t75" style="height:15pt;width:9.75pt;" o:ole="t" filled="f" o:preferrelative="t" stroked="f" coordsize="21600,21600">
            <v:path/>
            <v:fill on="f" focussize="0,0"/>
            <v:stroke on="f" joinstyle="miter"/>
            <v:imagedata r:id="rId22" o:title=""/>
            <o:lock v:ext="edit" aspectratio="t"/>
            <w10:wrap type="none"/>
            <w10:anchorlock/>
          </v:shape>
          <o:OLEObject Type="Embed" ProgID="Equation.3" ShapeID="_x0000_i1028" DrawAspect="Content" ObjectID="_1468075728" r:id="rId21">
            <o:LockedField>false</o:LockedField>
          </o:OLEObject>
        </w:object>
      </w:r>
      <w:r>
        <w:rPr>
          <w:rFonts w:ascii="Times New Roman" w:hAnsi="Times New Roman" w:cs="Times New Roman"/>
          <w:kern w:val="0"/>
          <w:sz w:val="21"/>
          <w:szCs w:val="21"/>
        </w:rPr>
        <w:t>个二级指标；</w:t>
      </w:r>
    </w:p>
    <w:p>
      <w:pPr>
        <w:pStyle w:val="32"/>
        <w:spacing w:line="300" w:lineRule="auto"/>
        <w:ind w:firstLine="950" w:firstLineChars="500"/>
        <w:rPr>
          <w:rFonts w:ascii="Times New Roman" w:hAnsi="Times New Roman" w:cs="Times New Roman"/>
          <w:spacing w:val="-10"/>
          <w:kern w:val="0"/>
          <w:sz w:val="21"/>
          <w:szCs w:val="21"/>
        </w:rPr>
      </w:pPr>
      <w:r>
        <w:rPr>
          <w:rFonts w:ascii="Times New Roman" w:hAnsi="Times New Roman" w:cs="Times New Roman"/>
          <w:spacing w:val="-10"/>
          <w:kern w:val="0"/>
          <w:sz w:val="21"/>
          <w:szCs w:val="21"/>
        </w:rPr>
        <w:object>
          <v:shape id="_x0000_i1029" o:spt="75" type="#_x0000_t75" style="height:18pt;width:15pt;" o:ole="t" filled="f" o:preferrelative="t" stroked="f" coordsize="21600,21600">
            <v:path/>
            <v:fill on="f" focussize="0,0"/>
            <v:stroke on="f" joinstyle="miter"/>
            <v:imagedata r:id="rId24" o:title=""/>
            <o:lock v:ext="edit" aspectratio="t"/>
            <w10:wrap type="none"/>
            <w10:anchorlock/>
          </v:shape>
          <o:OLEObject Type="Embed" ProgID="Equation.3" ShapeID="_x0000_i1029" DrawAspect="Content" ObjectID="_1468075729" r:id="rId23">
            <o:LockedField>false</o:LockedField>
          </o:OLEObject>
        </w:object>
      </w:r>
      <w:r>
        <w:rPr>
          <w:rFonts w:ascii="Times New Roman" w:hAnsi="Times New Roman" w:cs="Times New Roman"/>
          <w:spacing w:val="-10"/>
          <w:szCs w:val="21"/>
        </w:rPr>
        <w:t>——</w:t>
      </w:r>
      <w:r>
        <w:rPr>
          <w:rFonts w:ascii="Times New Roman" w:hAnsi="Times New Roman" w:cs="Times New Roman"/>
          <w:spacing w:val="-10"/>
          <w:kern w:val="0"/>
          <w:sz w:val="21"/>
          <w:szCs w:val="21"/>
        </w:rPr>
        <w:t>为二级指标基准值，其中</w:t>
      </w:r>
      <w:r>
        <w:rPr>
          <w:rFonts w:ascii="Times New Roman" w:hAnsi="Times New Roman" w:cs="Times New Roman"/>
          <w:spacing w:val="-10"/>
          <w:kern w:val="0"/>
          <w:sz w:val="21"/>
          <w:szCs w:val="21"/>
        </w:rPr>
        <w:object>
          <v:shape id="_x0000_i1030" o:spt="75" type="#_x0000_t75" style="height:17.25pt;width:14.25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0" r:id="rId25">
            <o:LockedField>false</o:LockedField>
          </o:OLEObject>
        </w:object>
      </w:r>
      <w:r>
        <w:rPr>
          <w:rFonts w:ascii="Times New Roman" w:hAnsi="Times New Roman" w:cs="Times New Roman"/>
          <w:spacing w:val="-10"/>
          <w:kern w:val="0"/>
          <w:sz w:val="21"/>
          <w:szCs w:val="21"/>
        </w:rPr>
        <w:t>为</w:t>
      </w:r>
      <w:r>
        <w:rPr>
          <w:rFonts w:hint="eastAsia" w:ascii="宋体" w:hAnsi="宋体"/>
          <w:spacing w:val="-10"/>
          <w:kern w:val="0"/>
          <w:sz w:val="21"/>
          <w:szCs w:val="21"/>
        </w:rPr>
        <w:t>Ⅰ</w:t>
      </w:r>
      <w:r>
        <w:rPr>
          <w:rFonts w:ascii="Times New Roman" w:hAnsi="Times New Roman" w:cs="Times New Roman"/>
          <w:spacing w:val="-10"/>
          <w:kern w:val="0"/>
          <w:sz w:val="21"/>
          <w:szCs w:val="21"/>
        </w:rPr>
        <w:t>级水平，</w:t>
      </w:r>
      <w:r>
        <w:rPr>
          <w:rFonts w:ascii="Times New Roman" w:hAnsi="Times New Roman" w:cs="Times New Roman"/>
          <w:spacing w:val="-10"/>
          <w:kern w:val="0"/>
          <w:sz w:val="21"/>
          <w:szCs w:val="21"/>
        </w:rPr>
        <w:object>
          <v:shape id="_x0000_i1031" o:spt="75" type="#_x0000_t75" style="height:17.25pt;width:15pt;" o:ole="t" filled="f" o:preferrelative="t" stroked="f" coordsize="21600,21600">
            <v:path/>
            <v:fill on="f" focussize="0,0"/>
            <v:stroke on="f" joinstyle="miter"/>
            <v:imagedata r:id="rId28" o:title=""/>
            <o:lock v:ext="edit" aspectratio="t"/>
            <w10:wrap type="none"/>
            <w10:anchorlock/>
          </v:shape>
          <o:OLEObject Type="Embed" ProgID="Equation.3" ShapeID="_x0000_i1031" DrawAspect="Content" ObjectID="_1468075731" r:id="rId27">
            <o:LockedField>false</o:LockedField>
          </o:OLEObject>
        </w:object>
      </w:r>
      <w:r>
        <w:rPr>
          <w:rFonts w:ascii="Times New Roman" w:hAnsi="Times New Roman" w:cs="Times New Roman"/>
          <w:spacing w:val="-10"/>
          <w:kern w:val="0"/>
          <w:sz w:val="21"/>
          <w:szCs w:val="21"/>
        </w:rPr>
        <w:t>为</w:t>
      </w:r>
      <w:r>
        <w:rPr>
          <w:rFonts w:hint="eastAsia" w:ascii="宋体" w:hAnsi="宋体"/>
          <w:spacing w:val="-10"/>
          <w:kern w:val="0"/>
          <w:sz w:val="21"/>
          <w:szCs w:val="21"/>
        </w:rPr>
        <w:t>Ⅱ</w:t>
      </w:r>
      <w:r>
        <w:rPr>
          <w:rFonts w:ascii="Times New Roman" w:hAnsi="Times New Roman" w:cs="Times New Roman"/>
          <w:spacing w:val="-10"/>
          <w:kern w:val="0"/>
          <w:sz w:val="21"/>
          <w:szCs w:val="21"/>
        </w:rPr>
        <w:t>级水平，</w:t>
      </w:r>
      <w:r>
        <w:rPr>
          <w:rFonts w:ascii="Times New Roman" w:hAnsi="Times New Roman" w:cs="Times New Roman"/>
          <w:spacing w:val="-10"/>
          <w:kern w:val="0"/>
          <w:sz w:val="21"/>
          <w:szCs w:val="21"/>
        </w:rPr>
        <w:object>
          <v:shape id="_x0000_i1032" o:spt="75" type="#_x0000_t75" style="height:18pt;width:15pt;" o:ole="t" filled="f" o:preferrelative="t" stroked="f" coordsize="21600,21600">
            <v:path/>
            <v:fill on="f" focussize="0,0"/>
            <v:stroke on="f" joinstyle="miter"/>
            <v:imagedata r:id="rId30" o:title=""/>
            <o:lock v:ext="edit" aspectratio="t"/>
            <w10:wrap type="none"/>
            <w10:anchorlock/>
          </v:shape>
          <o:OLEObject Type="Embed" ProgID="Equation.3" ShapeID="_x0000_i1032" DrawAspect="Content" ObjectID="_1468075732" r:id="rId29">
            <o:LockedField>false</o:LockedField>
          </o:OLEObject>
        </w:object>
      </w:r>
      <w:r>
        <w:rPr>
          <w:rFonts w:ascii="Times New Roman" w:hAnsi="Times New Roman" w:cs="Times New Roman"/>
          <w:spacing w:val="-10"/>
          <w:kern w:val="0"/>
          <w:sz w:val="21"/>
          <w:szCs w:val="21"/>
        </w:rPr>
        <w:t>为</w:t>
      </w:r>
      <w:r>
        <w:rPr>
          <w:rFonts w:hint="eastAsia" w:ascii="宋体" w:hAnsi="宋体"/>
          <w:spacing w:val="-10"/>
          <w:kern w:val="0"/>
          <w:sz w:val="21"/>
          <w:szCs w:val="21"/>
        </w:rPr>
        <w:t>Ⅲ</w:t>
      </w:r>
      <w:r>
        <w:rPr>
          <w:rFonts w:ascii="Times New Roman" w:hAnsi="Times New Roman" w:cs="Times New Roman"/>
          <w:spacing w:val="-10"/>
          <w:kern w:val="0"/>
          <w:sz w:val="21"/>
          <w:szCs w:val="21"/>
        </w:rPr>
        <w:t>级水平；</w:t>
      </w:r>
    </w:p>
    <w:p>
      <w:pPr>
        <w:pStyle w:val="32"/>
        <w:spacing w:line="300" w:lineRule="auto"/>
        <w:ind w:firstLine="1050" w:firstLineChars="500"/>
        <w:rPr>
          <w:rFonts w:ascii="Times New Roman" w:hAnsi="Times New Roman" w:cs="Times New Roman"/>
          <w:kern w:val="0"/>
          <w:sz w:val="21"/>
          <w:szCs w:val="21"/>
        </w:rPr>
      </w:pPr>
      <w:r>
        <w:rPr>
          <w:rFonts w:ascii="Times New Roman" w:hAnsi="Times New Roman" w:cs="Times New Roman"/>
          <w:kern w:val="0"/>
          <w:sz w:val="21"/>
          <w:szCs w:val="21"/>
        </w:rPr>
        <w:object>
          <v:shape id="_x0000_i1033" o:spt="75" type="#_x0000_t75" style="height:18.75pt;width:41.25pt;" o:ole="t" filled="f" o:preferrelative="t" stroked="f" coordsize="21600,21600">
            <v:path/>
            <v:fill on="f" focussize="0,0"/>
            <v:stroke on="f" joinstyle="miter"/>
            <v:imagedata r:id="rId32" o:title=""/>
            <o:lock v:ext="edit" aspectratio="t"/>
            <w10:wrap type="none"/>
            <w10:anchorlock/>
          </v:shape>
          <o:OLEObject Type="Embed" ProgID="Equation.3" ShapeID="_x0000_i1033" DrawAspect="Content" ObjectID="_1468075733" r:id="rId31">
            <o:LockedField>false</o:LockedField>
          </o:OLEObject>
        </w:object>
      </w:r>
      <w:r>
        <w:rPr>
          <w:rFonts w:ascii="Times New Roman" w:hAnsi="Times New Roman" w:cs="Times New Roman"/>
          <w:szCs w:val="21"/>
        </w:rPr>
        <w:t>——</w:t>
      </w:r>
      <w:r>
        <w:rPr>
          <w:rFonts w:ascii="Times New Roman" w:hAnsi="Times New Roman" w:cs="Times New Roman"/>
          <w:kern w:val="0"/>
          <w:sz w:val="21"/>
          <w:szCs w:val="21"/>
        </w:rPr>
        <w:t>为二级指标</w:t>
      </w:r>
      <w:r>
        <w:rPr>
          <w:rFonts w:ascii="Times New Roman" w:hAnsi="Times New Roman" w:cs="Times New Roman"/>
          <w:kern w:val="0"/>
          <w:sz w:val="21"/>
          <w:szCs w:val="21"/>
        </w:rPr>
        <w:object>
          <v:shape id="_x0000_i1034" o:spt="75" type="#_x0000_t75" style="height:18.75pt;width:14.25pt;" o:ole="t" filled="f" o:preferrelative="t" stroked="f" coordsize="21600,21600">
            <v:path/>
            <v:fill on="f" focussize="0,0"/>
            <v:stroke on="f" joinstyle="miter"/>
            <v:imagedata r:id="rId34" o:title=""/>
            <o:lock v:ext="edit" aspectratio="t"/>
            <w10:wrap type="none"/>
            <w10:anchorlock/>
          </v:shape>
          <o:OLEObject Type="Embed" ProgID="Equation.3" ShapeID="_x0000_i1034" DrawAspect="Content" ObjectID="_1468075734" r:id="rId33">
            <o:LockedField>false</o:LockedField>
          </o:OLEObject>
        </w:object>
      </w:r>
      <w:r>
        <w:rPr>
          <w:rFonts w:ascii="Times New Roman" w:hAnsi="Times New Roman" w:cs="Times New Roman"/>
          <w:kern w:val="0"/>
          <w:sz w:val="21"/>
          <w:szCs w:val="21"/>
        </w:rPr>
        <w:t>对于级别</w:t>
      </w:r>
      <w:r>
        <w:rPr>
          <w:rFonts w:ascii="Times New Roman" w:hAnsi="Times New Roman" w:cs="Times New Roman"/>
          <w:kern w:val="0"/>
          <w:sz w:val="21"/>
          <w:szCs w:val="21"/>
        </w:rPr>
        <w:object>
          <v:shape id="_x0000_i1035" o:spt="75" type="#_x0000_t75" style="height:18pt;width:15pt;" o:ole="t" filled="f" o:preferrelative="t" stroked="f" coordsize="21600,21600">
            <v:path/>
            <v:fill on="f" focussize="0,0"/>
            <v:stroke on="f" joinstyle="miter"/>
            <v:imagedata r:id="rId36" o:title=""/>
            <o:lock v:ext="edit" aspectratio="t"/>
            <w10:wrap type="none"/>
            <w10:anchorlock/>
          </v:shape>
          <o:OLEObject Type="Embed" ProgID="Equation.3" ShapeID="_x0000_i1035" DrawAspect="Content" ObjectID="_1468075735" r:id="rId35">
            <o:LockedField>false</o:LockedField>
          </o:OLEObject>
        </w:object>
      </w:r>
      <w:r>
        <w:rPr>
          <w:rFonts w:ascii="Times New Roman" w:hAnsi="Times New Roman" w:cs="Times New Roman"/>
          <w:kern w:val="0"/>
          <w:sz w:val="21"/>
          <w:szCs w:val="21"/>
        </w:rPr>
        <w:t>的函数。</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如（公式5-1）所示，若指标x</w:t>
      </w:r>
      <w:r>
        <w:rPr>
          <w:rFonts w:ascii="Times New Roman" w:hAnsi="Times New Roman" w:cs="Times New Roman"/>
          <w:szCs w:val="21"/>
          <w:vertAlign w:val="subscript"/>
        </w:rPr>
        <w:t>ij</w:t>
      </w:r>
      <w:r>
        <w:rPr>
          <w:rFonts w:ascii="Times New Roman" w:hAnsi="Times New Roman" w:cs="Times New Roman"/>
          <w:szCs w:val="21"/>
        </w:rPr>
        <w:t>属于级别g</w:t>
      </w:r>
      <w:r>
        <w:rPr>
          <w:rFonts w:ascii="Times New Roman" w:hAnsi="Times New Roman" w:cs="Times New Roman"/>
          <w:szCs w:val="21"/>
          <w:vertAlign w:val="subscript"/>
        </w:rPr>
        <w:t>k</w:t>
      </w:r>
      <w:r>
        <w:rPr>
          <w:rFonts w:ascii="Times New Roman" w:hAnsi="Times New Roman" w:cs="Times New Roman"/>
          <w:szCs w:val="21"/>
        </w:rPr>
        <w:t>，则隶属函数的值为100，否则为0。</w:t>
      </w:r>
    </w:p>
    <w:p>
      <w:pPr>
        <w:spacing w:before="120" w:beforeLines="50" w:after="120" w:afterLines="50" w:line="300" w:lineRule="auto"/>
        <w:outlineLvl w:val="1"/>
        <w:rPr>
          <w:rFonts w:ascii="Times New Roman" w:hAnsi="Times New Roman" w:eastAsia="黑体" w:cs="Times New Roman"/>
          <w:bCs/>
          <w:kern w:val="44"/>
          <w:szCs w:val="21"/>
        </w:rPr>
      </w:pPr>
      <w:r>
        <w:rPr>
          <w:rFonts w:ascii="Times New Roman" w:hAnsi="Times New Roman" w:eastAsia="黑体" w:cs="Times New Roman"/>
          <w:bCs/>
          <w:kern w:val="44"/>
          <w:szCs w:val="21"/>
        </w:rPr>
        <w:t>5.2 综合评价指数计算</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通过加权平均、逐层收敛可得到评价对象在不同级别g</w:t>
      </w:r>
      <w:r>
        <w:rPr>
          <w:rFonts w:ascii="Times New Roman" w:hAnsi="Times New Roman" w:cs="Times New Roman"/>
          <w:szCs w:val="21"/>
          <w:vertAlign w:val="subscript"/>
        </w:rPr>
        <w:t>k</w:t>
      </w:r>
      <w:r>
        <w:rPr>
          <w:rFonts w:ascii="Times New Roman" w:hAnsi="Times New Roman" w:cs="Times New Roman"/>
          <w:szCs w:val="21"/>
        </w:rPr>
        <w:t>的得分Y</w:t>
      </w:r>
      <w:r>
        <w:rPr>
          <w:rFonts w:ascii="Times New Roman" w:hAnsi="Times New Roman" w:cs="Times New Roman"/>
          <w:szCs w:val="21"/>
          <w:vertAlign w:val="subscript"/>
        </w:rPr>
        <w:t>gk</w:t>
      </w:r>
      <w:r>
        <w:rPr>
          <w:rFonts w:ascii="Times New Roman" w:hAnsi="Times New Roman" w:cs="Times New Roman"/>
          <w:szCs w:val="21"/>
        </w:rPr>
        <w:t>，公式为；</w:t>
      </w:r>
    </w:p>
    <w:p>
      <w:pPr>
        <w:spacing w:line="300" w:lineRule="auto"/>
        <w:jc w:val="right"/>
        <w:rPr>
          <w:rFonts w:ascii="Times New Roman" w:hAnsi="Times New Roman" w:cs="Times New Roman"/>
        </w:rPr>
      </w:pPr>
    </w:p>
    <w:p>
      <w:pPr>
        <w:spacing w:line="300" w:lineRule="auto"/>
        <w:jc w:val="right"/>
        <w:rPr>
          <w:rFonts w:ascii="Times New Roman" w:hAnsi="Times New Roman" w:cs="Times New Roman"/>
        </w:rPr>
      </w:pPr>
      <w:bookmarkStart w:id="1" w:name="_Toc370480169"/>
      <w:r>
        <w:rPr>
          <w:rFonts w:ascii="Times New Roman" w:hAnsi="Times New Roman" w:cs="Times New Roman"/>
          <w:position w:val="-30"/>
        </w:rPr>
        <w:object>
          <v:shape id="_x0000_i1036" o:spt="75" type="#_x0000_t75" style="height:36pt;width:128.25pt;" o:ole="t" filled="f" o:preferrelative="t" stroked="f" coordsize="21600,21600">
            <v:path/>
            <v:fill on="f" focussize="0,0"/>
            <v:stroke on="f" joinstyle="miter"/>
            <v:imagedata r:id="rId38" o:title=""/>
            <o:lock v:ext="edit" aspectratio="t"/>
            <w10:wrap type="none"/>
            <w10:anchorlock/>
          </v:shape>
          <o:OLEObject Type="Embed" ProgID="Equation.3" ShapeID="_x0000_i1036" DrawAspect="Content" ObjectID="_1468075736" r:id="rId37">
            <o:LockedField>false</o:LockedField>
          </o:OLEObject>
        </w:object>
      </w:r>
      <w:r>
        <w:rPr>
          <w:rFonts w:ascii="Times New Roman" w:hAnsi="Times New Roman" w:cs="Times New Roman"/>
        </w:rPr>
        <w:t xml:space="preserve">                             （5-2）</w:t>
      </w:r>
      <w:bookmarkEnd w:id="1"/>
    </w:p>
    <w:p>
      <w:pPr>
        <w:spacing w:line="300" w:lineRule="auto"/>
        <w:jc w:val="right"/>
        <w:rPr>
          <w:rFonts w:ascii="Times New Roman" w:hAnsi="Times New Roman" w:cs="Times New Roman"/>
        </w:rPr>
      </w:pPr>
    </w:p>
    <w:p>
      <w:pPr>
        <w:pStyle w:val="32"/>
        <w:snapToGrid w:val="0"/>
        <w:spacing w:line="300" w:lineRule="auto"/>
        <w:ind w:firstLine="420"/>
        <w:rPr>
          <w:rFonts w:ascii="Times New Roman" w:hAnsi="Times New Roman" w:cs="Times New Roman"/>
          <w:sz w:val="21"/>
          <w:szCs w:val="21"/>
        </w:rPr>
      </w:pPr>
      <w:r>
        <w:rPr>
          <w:rFonts w:ascii="Times New Roman" w:hAnsi="Times New Roman" w:cs="Times New Roman"/>
          <w:sz w:val="21"/>
          <w:szCs w:val="21"/>
        </w:rPr>
        <w:t>式中，</w:t>
      </w:r>
      <w:r>
        <w:rPr>
          <w:rFonts w:ascii="Times New Roman" w:hAnsi="Times New Roman" w:cs="Times New Roman"/>
          <w:position w:val="-12"/>
          <w:sz w:val="21"/>
          <w:szCs w:val="21"/>
        </w:rPr>
        <w:object>
          <v:shape id="_x0000_i1037" o:spt="75" type="#_x0000_t75" style="height:18pt;width:14.25pt;" o:ole="t" filled="f" o:preferrelative="t" stroked="f" coordsize="21600,21600">
            <v:path/>
            <v:fill on="f" focussize="0,0"/>
            <v:stroke on="f" joinstyle="miter"/>
            <v:imagedata r:id="rId40" o:title=""/>
            <o:lock v:ext="edit" aspectratio="t"/>
            <w10:wrap type="none"/>
            <w10:anchorlock/>
          </v:shape>
          <o:OLEObject Type="Embed" ProgID="Equation.3" ShapeID="_x0000_i1037" DrawAspect="Content" ObjectID="_1468075737" r:id="rId39">
            <o:LockedField>false</o:LockedField>
          </o:OLEObject>
        </w:object>
      </w:r>
      <w:r>
        <w:rPr>
          <w:rFonts w:ascii="Times New Roman" w:hAnsi="Times New Roman" w:cs="Times New Roman"/>
          <w:szCs w:val="21"/>
        </w:rPr>
        <w:t>——</w:t>
      </w:r>
      <w:r>
        <w:rPr>
          <w:rFonts w:ascii="Times New Roman" w:hAnsi="Times New Roman" w:cs="Times New Roman"/>
          <w:sz w:val="21"/>
          <w:szCs w:val="21"/>
        </w:rPr>
        <w:t>为第</w:t>
      </w:r>
      <w:r>
        <w:rPr>
          <w:rFonts w:ascii="Times New Roman" w:hAnsi="Times New Roman" w:cs="Times New Roman"/>
          <w:position w:val="-6"/>
          <w:sz w:val="21"/>
          <w:szCs w:val="21"/>
        </w:rPr>
        <w:object>
          <v:shape id="_x0000_i1038" o:spt="75" type="#_x0000_t75" style="height:12.75pt;width:6.75pt;" o:ole="t" filled="f" o:preferrelative="t" stroked="f" coordsize="21600,21600">
            <v:path/>
            <v:fill on="f" focussize="0,0"/>
            <v:stroke on="f" joinstyle="miter"/>
            <v:imagedata r:id="rId20" o:title=""/>
            <o:lock v:ext="edit" aspectratio="t"/>
            <w10:wrap type="none"/>
            <w10:anchorlock/>
          </v:shape>
          <o:OLEObject Type="Embed" ProgID="Equation.3" ShapeID="_x0000_i1038" DrawAspect="Content" ObjectID="_1468075738" r:id="rId41">
            <o:LockedField>false</o:LockedField>
          </o:OLEObject>
        </w:object>
      </w:r>
      <w:r>
        <w:rPr>
          <w:rFonts w:ascii="Times New Roman" w:hAnsi="Times New Roman" w:cs="Times New Roman"/>
          <w:sz w:val="21"/>
          <w:szCs w:val="21"/>
        </w:rPr>
        <w:t>个一级指标的权重；</w:t>
      </w:r>
    </w:p>
    <w:p>
      <w:pPr>
        <w:pStyle w:val="32"/>
        <w:snapToGrid w:val="0"/>
        <w:spacing w:line="300" w:lineRule="auto"/>
        <w:ind w:left="840" w:leftChars="400" w:firstLine="190" w:firstLineChars="100"/>
        <w:jc w:val="left"/>
        <w:rPr>
          <w:rFonts w:ascii="Times New Roman" w:hAnsi="Times New Roman" w:cs="Times New Roman"/>
          <w:spacing w:val="-10"/>
          <w:sz w:val="21"/>
          <w:szCs w:val="21"/>
        </w:rPr>
      </w:pPr>
      <w:r>
        <w:rPr>
          <w:rFonts w:ascii="Times New Roman" w:hAnsi="Times New Roman" w:cs="Times New Roman"/>
          <w:spacing w:val="-10"/>
          <w:position w:val="-14"/>
          <w:sz w:val="21"/>
          <w:szCs w:val="21"/>
        </w:rPr>
        <w:object>
          <v:shape id="_x0000_i1039" o:spt="75" type="#_x0000_t75" style="height:18.75pt;width:15.75pt;" o:ole="t" filled="f" o:preferrelative="t" stroked="f" coordsize="21600,21600">
            <v:path/>
            <v:fill on="f" focussize="0,0"/>
            <v:stroke on="f" joinstyle="miter"/>
            <v:imagedata r:id="rId43" o:title=""/>
            <o:lock v:ext="edit" aspectratio="t"/>
            <w10:wrap type="none"/>
            <w10:anchorlock/>
          </v:shape>
          <o:OLEObject Type="Embed" ProgID="Equation.3" ShapeID="_x0000_i1039" DrawAspect="Content" ObjectID="_1468075739" r:id="rId42">
            <o:LockedField>false</o:LockedField>
          </o:OLEObject>
        </w:object>
      </w:r>
      <w:r>
        <w:rPr>
          <w:rFonts w:ascii="Times New Roman" w:hAnsi="Times New Roman" w:cs="Times New Roman"/>
          <w:spacing w:val="-10"/>
          <w:szCs w:val="21"/>
        </w:rPr>
        <w:t>——</w:t>
      </w:r>
      <w:r>
        <w:rPr>
          <w:rFonts w:ascii="Times New Roman" w:hAnsi="Times New Roman" w:cs="Times New Roman"/>
          <w:spacing w:val="-10"/>
          <w:sz w:val="21"/>
          <w:szCs w:val="21"/>
        </w:rPr>
        <w:t>为第</w:t>
      </w:r>
      <w:r>
        <w:rPr>
          <w:rFonts w:ascii="Times New Roman" w:hAnsi="Times New Roman" w:cs="Times New Roman"/>
          <w:spacing w:val="-10"/>
          <w:position w:val="-6"/>
          <w:sz w:val="21"/>
          <w:szCs w:val="21"/>
        </w:rPr>
        <w:object>
          <v:shape id="_x0000_i1040" o:spt="75" type="#_x0000_t75" style="height:12.75pt;width:6.75pt;" o:ole="t" filled="f" o:preferrelative="t" stroked="f" coordsize="21600,21600">
            <v:path/>
            <v:fill on="f" focussize="0,0"/>
            <v:stroke on="f" joinstyle="miter"/>
            <v:imagedata r:id="rId20" o:title=""/>
            <o:lock v:ext="edit" aspectratio="t"/>
            <w10:wrap type="none"/>
            <w10:anchorlock/>
          </v:shape>
          <o:OLEObject Type="Embed" ProgID="Equation.3" ShapeID="_x0000_i1040" DrawAspect="Content" ObjectID="_1468075740" r:id="rId44">
            <o:LockedField>false</o:LockedField>
          </o:OLEObject>
        </w:object>
      </w:r>
      <w:r>
        <w:rPr>
          <w:rFonts w:ascii="Times New Roman" w:hAnsi="Times New Roman" w:cs="Times New Roman"/>
          <w:spacing w:val="-10"/>
          <w:sz w:val="21"/>
          <w:szCs w:val="21"/>
        </w:rPr>
        <w:t>个一级指标下的第</w:t>
      </w:r>
      <w:r>
        <w:rPr>
          <w:rFonts w:ascii="Times New Roman" w:hAnsi="Times New Roman" w:cs="Times New Roman"/>
          <w:spacing w:val="-10"/>
          <w:position w:val="-10"/>
          <w:sz w:val="21"/>
          <w:szCs w:val="21"/>
        </w:rPr>
        <w:object>
          <v:shape id="_x0000_i1041" o:spt="75" type="#_x0000_t75" style="height:15pt;width:9.75pt;" o:ole="t" filled="f" o:preferrelative="t" stroked="f" coordsize="21600,21600">
            <v:path/>
            <v:fill on="f" focussize="0,0"/>
            <v:stroke on="f" joinstyle="miter"/>
            <v:imagedata r:id="rId22" o:title=""/>
            <o:lock v:ext="edit" aspectratio="t"/>
            <w10:wrap type="none"/>
            <w10:anchorlock/>
          </v:shape>
          <o:OLEObject Type="Embed" ProgID="Equation.3" ShapeID="_x0000_i1041" DrawAspect="Content" ObjectID="_1468075741" r:id="rId45">
            <o:LockedField>false</o:LockedField>
          </o:OLEObject>
        </w:object>
      </w:r>
      <w:r>
        <w:rPr>
          <w:rFonts w:ascii="Times New Roman" w:hAnsi="Times New Roman" w:cs="Times New Roman"/>
          <w:spacing w:val="-10"/>
          <w:sz w:val="21"/>
          <w:szCs w:val="21"/>
        </w:rPr>
        <w:t>个二级指标的权重，其中</w:t>
      </w:r>
      <w:r>
        <w:rPr>
          <w:rFonts w:ascii="Times New Roman" w:hAnsi="Times New Roman" w:cs="Times New Roman"/>
          <w:spacing w:val="-10"/>
          <w:position w:val="-28"/>
          <w:sz w:val="21"/>
          <w:szCs w:val="21"/>
        </w:rPr>
        <w:object>
          <v:shape id="_x0000_i1042" o:spt="75" type="#_x0000_t75" style="height:33.75pt;width:45.75pt;" o:ole="t" filled="f" o:preferrelative="t" stroked="f" coordsize="21600,21600">
            <v:path/>
            <v:fill on="f" focussize="0,0"/>
            <v:stroke on="f" joinstyle="miter"/>
            <v:imagedata r:id="rId47" o:title=""/>
            <o:lock v:ext="edit" aspectratio="t"/>
            <w10:wrap type="none"/>
            <w10:anchorlock/>
          </v:shape>
          <o:OLEObject Type="Embed" ProgID="Equation.3" ShapeID="_x0000_i1042" DrawAspect="Content" ObjectID="_1468075742" r:id="rId46">
            <o:LockedField>false</o:LockedField>
          </o:OLEObject>
        </w:object>
      </w:r>
      <w:r>
        <w:rPr>
          <w:rFonts w:ascii="Times New Roman" w:hAnsi="Times New Roman" w:cs="Times New Roman"/>
          <w:spacing w:val="-10"/>
          <w:sz w:val="21"/>
          <w:szCs w:val="21"/>
        </w:rPr>
        <w:t>，</w:t>
      </w:r>
      <w:r>
        <w:rPr>
          <w:rFonts w:ascii="Times New Roman" w:hAnsi="Times New Roman" w:cs="Times New Roman"/>
          <w:spacing w:val="-10"/>
          <w:position w:val="-30"/>
          <w:sz w:val="21"/>
          <w:szCs w:val="21"/>
        </w:rPr>
        <w:object>
          <v:shape id="_x0000_i1043" o:spt="75" type="#_x0000_t75" style="height:36pt;width:48pt;" o:ole="t" filled="f" o:preferrelative="t" stroked="f" coordsize="21600,21600">
            <v:path/>
            <v:fill on="f" focussize="0,0"/>
            <v:stroke on="f" joinstyle="miter"/>
            <v:imagedata r:id="rId49" o:title=""/>
            <o:lock v:ext="edit" aspectratio="t"/>
            <w10:wrap type="none"/>
            <w10:anchorlock/>
          </v:shape>
          <o:OLEObject Type="Embed" ProgID="Equation.3" ShapeID="_x0000_i1043" DrawAspect="Content" ObjectID="_1468075743" r:id="rId48">
            <o:LockedField>false</o:LockedField>
          </o:OLEObject>
        </w:object>
      </w:r>
      <w:r>
        <w:rPr>
          <w:rFonts w:ascii="Times New Roman" w:hAnsi="Times New Roman" w:cs="Times New Roman"/>
          <w:spacing w:val="-10"/>
          <w:sz w:val="21"/>
          <w:szCs w:val="21"/>
        </w:rPr>
        <w:t>；</w:t>
      </w:r>
    </w:p>
    <w:p>
      <w:pPr>
        <w:pStyle w:val="32"/>
        <w:snapToGrid w:val="0"/>
        <w:spacing w:line="300" w:lineRule="auto"/>
        <w:ind w:left="840" w:leftChars="400" w:firstLine="210" w:firstLineChars="100"/>
        <w:rPr>
          <w:rFonts w:ascii="Times New Roman" w:hAnsi="Times New Roman" w:cs="Times New Roman"/>
          <w:sz w:val="21"/>
          <w:szCs w:val="21"/>
        </w:rPr>
      </w:pPr>
      <w:r>
        <w:rPr>
          <w:rFonts w:ascii="Times New Roman" w:hAnsi="Times New Roman" w:cs="Times New Roman"/>
          <w:position w:val="-6"/>
          <w:sz w:val="21"/>
          <w:szCs w:val="21"/>
        </w:rPr>
        <w:object>
          <v:shape id="_x0000_i1044" o:spt="75" type="#_x0000_t75" style="height:11.25pt;width:12.75pt;" o:ole="t" filled="f" o:preferrelative="t" stroked="f" coordsize="21600,21600">
            <v:path/>
            <v:fill on="f" focussize="0,0"/>
            <v:stroke on="f" joinstyle="miter"/>
            <v:imagedata r:id="rId51" o:title=""/>
            <o:lock v:ext="edit" aspectratio="t"/>
            <w10:wrap type="none"/>
            <w10:anchorlock/>
          </v:shape>
          <o:OLEObject Type="Embed" ProgID="Equation.3" ShapeID="_x0000_i1044" DrawAspect="Content" ObjectID="_1468075744" r:id="rId50">
            <o:LockedField>false</o:LockedField>
          </o:OLEObject>
        </w:object>
      </w:r>
      <w:r>
        <w:rPr>
          <w:rFonts w:ascii="Times New Roman" w:hAnsi="Times New Roman" w:cs="Times New Roman"/>
          <w:szCs w:val="21"/>
        </w:rPr>
        <w:t>——</w:t>
      </w:r>
      <w:r>
        <w:rPr>
          <w:rFonts w:ascii="Times New Roman" w:hAnsi="Times New Roman" w:cs="Times New Roman"/>
          <w:sz w:val="21"/>
          <w:szCs w:val="21"/>
        </w:rPr>
        <w:t>为一级指标的个数；</w:t>
      </w:r>
    </w:p>
    <w:p>
      <w:pPr>
        <w:pStyle w:val="32"/>
        <w:snapToGrid w:val="0"/>
        <w:spacing w:line="300" w:lineRule="auto"/>
        <w:ind w:left="840" w:leftChars="400" w:firstLine="210" w:firstLineChars="100"/>
        <w:rPr>
          <w:rFonts w:ascii="Times New Roman" w:hAnsi="Times New Roman" w:cs="Times New Roman"/>
          <w:sz w:val="21"/>
          <w:szCs w:val="21"/>
        </w:rPr>
      </w:pPr>
      <w:r>
        <w:rPr>
          <w:rFonts w:ascii="Times New Roman" w:hAnsi="Times New Roman" w:cs="Times New Roman"/>
          <w:position w:val="-12"/>
          <w:sz w:val="21"/>
          <w:szCs w:val="21"/>
        </w:rPr>
        <w:object>
          <v:shape id="_x0000_i1045" o:spt="75" type="#_x0000_t75" style="height:18pt;width:12pt;" o:ole="t" filled="f" o:preferrelative="t" stroked="f" coordsize="21600,21600">
            <v:path/>
            <v:fill on="f" focussize="0,0"/>
            <v:stroke on="f" joinstyle="miter"/>
            <v:imagedata r:id="rId53" o:title=""/>
            <o:lock v:ext="edit" aspectratio="t"/>
            <w10:wrap type="none"/>
            <w10:anchorlock/>
          </v:shape>
          <o:OLEObject Type="Embed" ProgID="Equation.3" ShapeID="_x0000_i1045" DrawAspect="Content" ObjectID="_1468075745" r:id="rId52">
            <o:LockedField>false</o:LockedField>
          </o:OLEObject>
        </w:object>
      </w:r>
      <w:r>
        <w:rPr>
          <w:rFonts w:ascii="Times New Roman" w:hAnsi="Times New Roman" w:cs="Times New Roman"/>
          <w:szCs w:val="21"/>
        </w:rPr>
        <w:t>——</w:t>
      </w:r>
      <w:r>
        <w:rPr>
          <w:rFonts w:ascii="Times New Roman" w:hAnsi="Times New Roman" w:cs="Times New Roman"/>
          <w:sz w:val="21"/>
          <w:szCs w:val="21"/>
        </w:rPr>
        <w:t>为第</w:t>
      </w:r>
      <w:r>
        <w:rPr>
          <w:rFonts w:ascii="Times New Roman" w:hAnsi="Times New Roman" w:cs="Times New Roman"/>
          <w:position w:val="-6"/>
          <w:sz w:val="21"/>
          <w:szCs w:val="21"/>
        </w:rPr>
        <w:object>
          <v:shape id="_x0000_i1046" o:spt="75" type="#_x0000_t75" style="height:12.75pt;width:6.75pt;" o:ole="t" filled="f" o:preferrelative="t" stroked="f" coordsize="21600,21600">
            <v:path/>
            <v:fill on="f" focussize="0,0"/>
            <v:stroke on="f" joinstyle="miter"/>
            <v:imagedata r:id="rId20" o:title=""/>
            <o:lock v:ext="edit" aspectratio="t"/>
            <w10:wrap type="none"/>
            <w10:anchorlock/>
          </v:shape>
          <o:OLEObject Type="Embed" ProgID="Equation.3" ShapeID="_x0000_i1046" DrawAspect="Content" ObjectID="_1468075746" r:id="rId54">
            <o:LockedField>false</o:LockedField>
          </o:OLEObject>
        </w:object>
      </w:r>
      <w:r>
        <w:rPr>
          <w:rFonts w:ascii="Times New Roman" w:hAnsi="Times New Roman" w:cs="Times New Roman"/>
          <w:sz w:val="21"/>
          <w:szCs w:val="21"/>
        </w:rPr>
        <w:t>个一级指标下二级指标的个数；</w:t>
      </w:r>
    </w:p>
    <w:p>
      <w:pPr>
        <w:pStyle w:val="32"/>
        <w:snapToGrid w:val="0"/>
        <w:spacing w:line="300" w:lineRule="auto"/>
        <w:ind w:left="840" w:leftChars="400" w:firstLine="210" w:firstLineChars="100"/>
        <w:rPr>
          <w:rFonts w:ascii="Times New Roman" w:hAnsi="Times New Roman" w:cs="Times New Roman"/>
          <w:sz w:val="21"/>
          <w:szCs w:val="21"/>
        </w:rPr>
      </w:pPr>
      <w:r>
        <w:rPr>
          <w:rFonts w:ascii="Times New Roman" w:hAnsi="Times New Roman" w:cs="Times New Roman"/>
          <w:sz w:val="21"/>
          <w:szCs w:val="21"/>
        </w:rPr>
        <w:t>另外，</w:t>
      </w:r>
      <w:r>
        <w:rPr>
          <w:rFonts w:ascii="Times New Roman" w:hAnsi="Times New Roman" w:cs="Times New Roman"/>
          <w:position w:val="-14"/>
          <w:sz w:val="21"/>
          <w:szCs w:val="21"/>
        </w:rPr>
        <w:object>
          <v:shape id="_x0000_i1047" o:spt="75" type="#_x0000_t75" style="height:18.75pt;width:18.75pt;" o:ole="t" filled="f" o:preferrelative="t" stroked="f" coordsize="21600,21600">
            <v:path/>
            <v:fill on="f" focussize="0,0"/>
            <v:stroke on="f" joinstyle="miter"/>
            <v:imagedata r:id="rId56" o:title=""/>
            <o:lock v:ext="edit" aspectratio="t"/>
            <w10:wrap type="none"/>
            <w10:anchorlock/>
          </v:shape>
          <o:OLEObject Type="Embed" ProgID="Equation.3" ShapeID="_x0000_i1047" DrawAspect="Content" ObjectID="_1468075747" r:id="rId55">
            <o:LockedField>false</o:LockedField>
          </o:OLEObject>
        </w:object>
      </w:r>
      <w:r>
        <w:rPr>
          <w:rFonts w:ascii="Times New Roman" w:hAnsi="Times New Roman" w:cs="Times New Roman"/>
          <w:sz w:val="21"/>
          <w:szCs w:val="21"/>
        </w:rPr>
        <w:t>等同于</w:t>
      </w:r>
      <w:r>
        <w:rPr>
          <w:rFonts w:ascii="Times New Roman" w:hAnsi="Times New Roman" w:cs="Times New Roman"/>
          <w:position w:val="-12"/>
          <w:sz w:val="21"/>
          <w:szCs w:val="21"/>
        </w:rPr>
        <w:object>
          <v:shape id="_x0000_i1048" o:spt="75" type="#_x0000_t75" style="height:18pt;width:15pt;" o:ole="t" filled="f" o:preferrelative="t" stroked="f" coordsize="21600,21600">
            <v:path/>
            <v:fill on="f" focussize="0,0"/>
            <v:stroke on="f" joinstyle="miter"/>
            <v:imagedata r:id="rId58" o:title=""/>
            <o:lock v:ext="edit" aspectratio="t"/>
            <w10:wrap type="none"/>
            <w10:anchorlock/>
          </v:shape>
          <o:OLEObject Type="Embed" ProgID="Equation.3" ShapeID="_x0000_i1048" DrawAspect="Content" ObjectID="_1468075748" r:id="rId57">
            <o:LockedField>false</o:LockedField>
          </o:OLEObject>
        </w:object>
      </w:r>
      <w:r>
        <w:rPr>
          <w:rFonts w:ascii="Times New Roman" w:hAnsi="Times New Roman" w:cs="Times New Roman"/>
          <w:sz w:val="21"/>
          <w:szCs w:val="21"/>
        </w:rPr>
        <w:t>，</w:t>
      </w:r>
      <w:r>
        <w:rPr>
          <w:rFonts w:ascii="Times New Roman" w:hAnsi="Times New Roman" w:cs="Times New Roman"/>
          <w:position w:val="-14"/>
          <w:sz w:val="21"/>
          <w:szCs w:val="21"/>
        </w:rPr>
        <w:object>
          <v:shape id="_x0000_i1049" o:spt="75" type="#_x0000_t75" style="height:18.75pt;width:21pt;" o:ole="t" filled="f" o:preferrelative="t" stroked="f" coordsize="21600,21600">
            <v:path/>
            <v:fill on="f" focussize="0,0"/>
            <v:stroke on="f" joinstyle="miter"/>
            <v:imagedata r:id="rId60" o:title=""/>
            <o:lock v:ext="edit" aspectratio="t"/>
            <w10:wrap type="none"/>
            <w10:anchorlock/>
          </v:shape>
          <o:OLEObject Type="Embed" ProgID="Equation.3" ShapeID="_x0000_i1049" DrawAspect="Content" ObjectID="_1468075749" r:id="rId59">
            <o:LockedField>false</o:LockedField>
          </o:OLEObject>
        </w:object>
      </w:r>
      <w:r>
        <w:rPr>
          <w:rFonts w:ascii="Times New Roman" w:hAnsi="Times New Roman" w:cs="Times New Roman"/>
          <w:sz w:val="21"/>
          <w:szCs w:val="21"/>
        </w:rPr>
        <w:t>等同于</w:t>
      </w:r>
      <w:r>
        <w:rPr>
          <w:rFonts w:ascii="Times New Roman" w:hAnsi="Times New Roman" w:cs="Times New Roman"/>
          <w:position w:val="-12"/>
          <w:sz w:val="21"/>
          <w:szCs w:val="21"/>
        </w:rPr>
        <w:object>
          <v:shape id="_x0000_i1050" o:spt="75" type="#_x0000_t75" style="height:18pt;width:17.25pt;" o:ole="t" filled="f" o:preferrelative="t" stroked="f" coordsize="21600,21600">
            <v:path/>
            <v:fill on="f" focussize="0,0"/>
            <v:stroke on="f" joinstyle="miter"/>
            <v:imagedata r:id="rId62" o:title=""/>
            <o:lock v:ext="edit" aspectratio="t"/>
            <w10:wrap type="none"/>
            <w10:anchorlock/>
          </v:shape>
          <o:OLEObject Type="Embed" ProgID="Equation.3" ShapeID="_x0000_i1050" DrawAspect="Content" ObjectID="_1468075750" r:id="rId61">
            <o:LockedField>false</o:LockedField>
          </o:OLEObject>
        </w:object>
      </w:r>
      <w:r>
        <w:rPr>
          <w:rFonts w:ascii="Times New Roman" w:hAnsi="Times New Roman" w:cs="Times New Roman"/>
          <w:sz w:val="21"/>
          <w:szCs w:val="21"/>
        </w:rPr>
        <w:t>，</w:t>
      </w:r>
      <w:r>
        <w:rPr>
          <w:rFonts w:ascii="Times New Roman" w:hAnsi="Times New Roman" w:cs="Times New Roman"/>
          <w:position w:val="-14"/>
          <w:sz w:val="21"/>
          <w:szCs w:val="21"/>
        </w:rPr>
        <w:object>
          <v:shape id="_x0000_i1051" o:spt="75" type="#_x0000_t75" style="height:18.75pt;width:20.25pt;" o:ole="t" filled="f" o:preferrelative="t" stroked="f" coordsize="21600,21600">
            <v:path/>
            <v:fill on="f" focussize="0,0"/>
            <v:stroke on="f" joinstyle="miter"/>
            <v:imagedata r:id="rId64" o:title=""/>
            <o:lock v:ext="edit" aspectratio="t"/>
            <w10:wrap type="none"/>
            <w10:anchorlock/>
          </v:shape>
          <o:OLEObject Type="Embed" ProgID="Equation.3" ShapeID="_x0000_i1051" DrawAspect="Content" ObjectID="_1468075751" r:id="rId63">
            <o:LockedField>false</o:LockedField>
          </o:OLEObject>
        </w:object>
      </w:r>
      <w:r>
        <w:rPr>
          <w:rFonts w:ascii="Times New Roman" w:hAnsi="Times New Roman" w:cs="Times New Roman"/>
          <w:sz w:val="21"/>
          <w:szCs w:val="21"/>
        </w:rPr>
        <w:t>等同于</w:t>
      </w:r>
      <w:r>
        <w:rPr>
          <w:rFonts w:ascii="Times New Roman" w:hAnsi="Times New Roman" w:cs="Times New Roman"/>
          <w:position w:val="-12"/>
          <w:sz w:val="21"/>
          <w:szCs w:val="21"/>
        </w:rPr>
        <w:object>
          <v:shape id="_x0000_i1052" o:spt="75" type="#_x0000_t75" style="height:18pt;width:18.75pt;" o:ole="t" filled="f" o:preferrelative="t" stroked="f" coordsize="21600,21600">
            <v:path/>
            <v:fill on="f" focussize="0,0"/>
            <v:stroke on="f" joinstyle="miter"/>
            <v:imagedata r:id="rId66" o:title=""/>
            <o:lock v:ext="edit" aspectratio="t"/>
            <w10:wrap type="none"/>
            <w10:anchorlock/>
          </v:shape>
          <o:OLEObject Type="Embed" ProgID="Equation.3" ShapeID="_x0000_i1052" DrawAspect="Content" ObjectID="_1468075752" r:id="rId65">
            <o:LockedField>false</o:LockedField>
          </o:OLEObject>
        </w:object>
      </w:r>
      <w:r>
        <w:rPr>
          <w:rFonts w:ascii="Times New Roman" w:hAnsi="Times New Roman" w:cs="Times New Roman"/>
          <w:sz w:val="21"/>
          <w:szCs w:val="21"/>
        </w:rPr>
        <w:t>。</w:t>
      </w:r>
    </w:p>
    <w:p>
      <w:pPr>
        <w:spacing w:before="120" w:beforeLines="50" w:after="120" w:afterLines="50" w:line="300" w:lineRule="auto"/>
        <w:outlineLvl w:val="1"/>
        <w:rPr>
          <w:rFonts w:ascii="Times New Roman" w:hAnsi="Times New Roman" w:eastAsia="黑体" w:cs="Times New Roman"/>
          <w:bCs/>
          <w:kern w:val="44"/>
          <w:szCs w:val="21"/>
        </w:rPr>
      </w:pPr>
      <w:bookmarkStart w:id="5" w:name="_GoBack"/>
      <w:bookmarkEnd w:id="5"/>
      <w:r>
        <w:rPr>
          <w:rFonts w:ascii="Times New Roman" w:hAnsi="Times New Roman" w:eastAsia="黑体" w:cs="Times New Roman"/>
          <w:bCs/>
          <w:kern w:val="44"/>
          <w:szCs w:val="21"/>
        </w:rPr>
        <w:t>5.3 综合评价指数计算步骤</w:t>
      </w:r>
    </w:p>
    <w:p>
      <w:pPr>
        <w:spacing w:line="300" w:lineRule="auto"/>
        <w:ind w:firstLine="420" w:firstLineChars="200"/>
        <w:rPr>
          <w:rFonts w:ascii="Times New Roman" w:hAnsi="Times New Roman" w:cs="Times New Roman"/>
          <w:szCs w:val="21"/>
        </w:rPr>
      </w:pPr>
      <w:bookmarkStart w:id="2" w:name="_Toc17184946"/>
      <w:bookmarkStart w:id="3" w:name="_Toc143669908"/>
      <w:bookmarkStart w:id="4" w:name="_Toc72237309"/>
      <w:r>
        <w:rPr>
          <w:rFonts w:ascii="Times New Roman" w:hAnsi="Times New Roman" w:cs="Times New Roman"/>
          <w:szCs w:val="21"/>
        </w:rPr>
        <w:t>第一步：将新建企业或新建项目、现有企业相关指标与</w:t>
      </w:r>
      <w:r>
        <w:rPr>
          <w:rFonts w:hint="eastAsia" w:ascii="宋体" w:hAnsi="宋体" w:eastAsia="宋体" w:cs="宋体"/>
          <w:szCs w:val="21"/>
        </w:rPr>
        <w:t>Ⅰ</w:t>
      </w:r>
      <w:r>
        <w:rPr>
          <w:rFonts w:ascii="Times New Roman" w:hAnsi="Times New Roman" w:cs="Times New Roman"/>
          <w:szCs w:val="21"/>
        </w:rPr>
        <w:t>级限定性指标进行对比，全部符合要求后，再将企业相关指标与</w:t>
      </w:r>
      <w:r>
        <w:rPr>
          <w:rFonts w:hint="eastAsia" w:ascii="宋体" w:hAnsi="宋体" w:eastAsia="宋体" w:cs="宋体"/>
          <w:szCs w:val="21"/>
        </w:rPr>
        <w:t>Ⅰ</w:t>
      </w:r>
      <w:r>
        <w:rPr>
          <w:rFonts w:ascii="Times New Roman" w:hAnsi="Times New Roman" w:cs="Times New Roman"/>
          <w:szCs w:val="21"/>
        </w:rPr>
        <w:t>级基准值进行逐项对比，计算综合评价指数得分Y</w:t>
      </w:r>
      <w:r>
        <w:rPr>
          <w:rFonts w:hint="eastAsia" w:ascii="宋体" w:hAnsi="宋体" w:eastAsia="宋体" w:cs="宋体"/>
          <w:szCs w:val="21"/>
          <w:vertAlign w:val="subscript"/>
        </w:rPr>
        <w:t>Ⅰ</w:t>
      </w:r>
      <w:r>
        <w:rPr>
          <w:rFonts w:ascii="Times New Roman" w:hAnsi="Times New Roman" w:cs="Times New Roman"/>
          <w:szCs w:val="21"/>
        </w:rPr>
        <w:t>，当综合指数得分Y</w:t>
      </w:r>
      <w:r>
        <w:rPr>
          <w:rFonts w:hint="eastAsia" w:ascii="宋体" w:hAnsi="宋体" w:eastAsia="宋体" w:cs="宋体"/>
          <w:szCs w:val="21"/>
          <w:vertAlign w:val="subscript"/>
        </w:rPr>
        <w:t>Ⅰ</w:t>
      </w:r>
      <w:r>
        <w:rPr>
          <w:rFonts w:ascii="Times New Roman" w:hAnsi="Times New Roman" w:cs="Times New Roman"/>
          <w:szCs w:val="21"/>
        </w:rPr>
        <w:t>≥85分时，可判定企业清洁生产水平为</w:t>
      </w:r>
      <w:r>
        <w:rPr>
          <w:rFonts w:hint="eastAsia" w:ascii="宋体" w:hAnsi="宋体" w:eastAsia="宋体" w:cs="宋体"/>
          <w:szCs w:val="21"/>
        </w:rPr>
        <w:t>Ⅰ</w:t>
      </w:r>
      <w:r>
        <w:rPr>
          <w:rFonts w:ascii="Times New Roman" w:hAnsi="Times New Roman" w:cs="Times New Roman"/>
          <w:szCs w:val="21"/>
        </w:rPr>
        <w:t>级。当企业相关指标不满足</w:t>
      </w:r>
      <w:r>
        <w:rPr>
          <w:rFonts w:hint="eastAsia" w:ascii="宋体" w:hAnsi="宋体" w:eastAsia="宋体" w:cs="宋体"/>
          <w:szCs w:val="21"/>
        </w:rPr>
        <w:t>Ⅰ</w:t>
      </w:r>
      <w:r>
        <w:rPr>
          <w:rFonts w:ascii="Times New Roman" w:hAnsi="Times New Roman" w:cs="Times New Roman"/>
          <w:szCs w:val="21"/>
        </w:rPr>
        <w:t>级限定性指标要求或综合指数得分Y</w:t>
      </w:r>
      <w:r>
        <w:rPr>
          <w:rFonts w:hint="eastAsia" w:ascii="宋体" w:hAnsi="宋体" w:eastAsia="宋体" w:cs="宋体"/>
          <w:szCs w:val="21"/>
          <w:vertAlign w:val="subscript"/>
        </w:rPr>
        <w:t>Ⅰ</w:t>
      </w:r>
      <w:r>
        <w:rPr>
          <w:rFonts w:ascii="Times New Roman" w:hAnsi="Times New Roman" w:cs="Times New Roman"/>
          <w:szCs w:val="21"/>
        </w:rPr>
        <w:t>＜85分时，则进入第二步计算。</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第二步：将新建企业或新建项目、现有企业相关指标与</w:t>
      </w:r>
      <w:r>
        <w:rPr>
          <w:rFonts w:hint="eastAsia" w:ascii="宋体" w:hAnsi="宋体" w:eastAsia="宋体" w:cs="宋体"/>
          <w:szCs w:val="21"/>
        </w:rPr>
        <w:t>Ⅱ</w:t>
      </w:r>
      <w:r>
        <w:rPr>
          <w:rFonts w:ascii="Times New Roman" w:hAnsi="Times New Roman" w:cs="Times New Roman"/>
          <w:szCs w:val="21"/>
        </w:rPr>
        <w:t>级限定性指标进行对比，全部符合要求后，再将企业相关指标与</w:t>
      </w:r>
      <w:r>
        <w:rPr>
          <w:rFonts w:hint="eastAsia" w:ascii="宋体" w:hAnsi="宋体" w:eastAsia="宋体" w:cs="宋体"/>
          <w:szCs w:val="21"/>
        </w:rPr>
        <w:t>Ⅱ</w:t>
      </w:r>
      <w:r>
        <w:rPr>
          <w:rFonts w:ascii="Times New Roman" w:hAnsi="Times New Roman" w:cs="Times New Roman"/>
          <w:szCs w:val="21"/>
        </w:rPr>
        <w:t>级基准值进行逐项对比，计算综合评价指数得分Y</w:t>
      </w:r>
      <w:r>
        <w:rPr>
          <w:rFonts w:hint="eastAsia" w:ascii="宋体" w:hAnsi="宋体" w:eastAsia="宋体" w:cs="宋体"/>
          <w:szCs w:val="21"/>
          <w:vertAlign w:val="subscript"/>
        </w:rPr>
        <w:t>Ⅱ</w:t>
      </w:r>
      <w:r>
        <w:rPr>
          <w:rFonts w:ascii="Times New Roman" w:hAnsi="Times New Roman" w:cs="Times New Roman"/>
          <w:szCs w:val="21"/>
        </w:rPr>
        <w:t>，当综合指数得分Y</w:t>
      </w:r>
      <w:r>
        <w:rPr>
          <w:rFonts w:hint="eastAsia" w:ascii="宋体" w:hAnsi="宋体" w:eastAsia="宋体" w:cs="宋体"/>
          <w:szCs w:val="21"/>
          <w:vertAlign w:val="subscript"/>
        </w:rPr>
        <w:t>Ⅱ</w:t>
      </w:r>
      <w:r>
        <w:rPr>
          <w:rFonts w:ascii="Times New Roman" w:hAnsi="Times New Roman" w:cs="Times New Roman"/>
          <w:szCs w:val="21"/>
        </w:rPr>
        <w:t>≥85分时，可判定企业清洁生产水平为</w:t>
      </w:r>
      <w:r>
        <w:rPr>
          <w:rFonts w:hint="eastAsia" w:ascii="宋体" w:hAnsi="宋体" w:eastAsia="宋体" w:cs="宋体"/>
          <w:szCs w:val="21"/>
        </w:rPr>
        <w:t>Ⅱ</w:t>
      </w:r>
      <w:r>
        <w:rPr>
          <w:rFonts w:ascii="Times New Roman" w:hAnsi="Times New Roman" w:cs="Times New Roman"/>
          <w:szCs w:val="21"/>
        </w:rPr>
        <w:t>级。当企业相关指标不满足</w:t>
      </w:r>
      <w:r>
        <w:rPr>
          <w:rFonts w:hint="eastAsia" w:ascii="宋体" w:hAnsi="宋体" w:eastAsia="宋体" w:cs="宋体"/>
          <w:szCs w:val="21"/>
        </w:rPr>
        <w:t>Ⅱ</w:t>
      </w:r>
      <w:r>
        <w:rPr>
          <w:rFonts w:ascii="Times New Roman" w:hAnsi="Times New Roman" w:cs="Times New Roman"/>
          <w:szCs w:val="21"/>
        </w:rPr>
        <w:t>级限定性指标要求或综合指数得分Y</w:t>
      </w:r>
      <w:r>
        <w:rPr>
          <w:rFonts w:hint="eastAsia" w:ascii="宋体" w:hAnsi="宋体" w:eastAsia="宋体" w:cs="宋体"/>
          <w:szCs w:val="21"/>
          <w:vertAlign w:val="subscript"/>
        </w:rPr>
        <w:t>Ⅱ</w:t>
      </w:r>
      <w:r>
        <w:rPr>
          <w:rFonts w:ascii="Times New Roman" w:hAnsi="Times New Roman" w:cs="Times New Roman"/>
          <w:szCs w:val="21"/>
        </w:rPr>
        <w:t>＜85分时，则进入第三步计算。</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新建企业或新建项目不再参与第三步计算。</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第三步：将现有企业相关指标与</w:t>
      </w:r>
      <w:r>
        <w:rPr>
          <w:rFonts w:hint="eastAsia" w:ascii="宋体" w:hAnsi="宋体" w:eastAsia="宋体" w:cs="宋体"/>
          <w:szCs w:val="21"/>
        </w:rPr>
        <w:t>Ⅲ</w:t>
      </w:r>
      <w:r>
        <w:rPr>
          <w:rFonts w:ascii="Times New Roman" w:hAnsi="Times New Roman" w:cs="Times New Roman"/>
          <w:szCs w:val="21"/>
        </w:rPr>
        <w:t>级限定性指标基准值进行对比，全部符合要求后，再将企业相关指标与</w:t>
      </w:r>
      <w:r>
        <w:rPr>
          <w:rFonts w:hint="eastAsia" w:ascii="宋体" w:hAnsi="宋体" w:eastAsia="宋体" w:cs="宋体"/>
          <w:szCs w:val="21"/>
        </w:rPr>
        <w:t>Ⅲ</w:t>
      </w:r>
      <w:r>
        <w:rPr>
          <w:rFonts w:ascii="Times New Roman" w:hAnsi="Times New Roman" w:cs="Times New Roman"/>
          <w:szCs w:val="21"/>
        </w:rPr>
        <w:t>级基准值进行逐项对比，计算综合指数得分，当综合指数得分Y</w:t>
      </w:r>
      <w:r>
        <w:rPr>
          <w:rFonts w:hint="eastAsia" w:ascii="宋体" w:hAnsi="宋体" w:eastAsia="宋体" w:cs="宋体"/>
          <w:szCs w:val="21"/>
          <w:vertAlign w:val="subscript"/>
        </w:rPr>
        <w:t>Ⅲ</w:t>
      </w:r>
      <w:r>
        <w:rPr>
          <w:rFonts w:ascii="Times New Roman" w:hAnsi="Times New Roman" w:cs="Times New Roman"/>
          <w:szCs w:val="21"/>
        </w:rPr>
        <w:t>=100分时，可判定企业清洁生产水平为</w:t>
      </w:r>
      <w:r>
        <w:rPr>
          <w:rFonts w:hint="eastAsia" w:ascii="宋体" w:hAnsi="宋体" w:eastAsia="宋体" w:cs="宋体"/>
          <w:szCs w:val="21"/>
        </w:rPr>
        <w:t>Ⅲ</w:t>
      </w:r>
      <w:r>
        <w:rPr>
          <w:rFonts w:ascii="Times New Roman" w:hAnsi="Times New Roman" w:cs="Times New Roman"/>
          <w:szCs w:val="21"/>
        </w:rPr>
        <w:t>级。当企业相关指标不满足</w:t>
      </w:r>
      <w:r>
        <w:rPr>
          <w:rFonts w:hint="eastAsia" w:ascii="宋体" w:hAnsi="宋体" w:eastAsia="宋体" w:cs="宋体"/>
          <w:szCs w:val="21"/>
        </w:rPr>
        <w:t>Ⅲ</w:t>
      </w:r>
      <w:r>
        <w:rPr>
          <w:rFonts w:ascii="Times New Roman" w:hAnsi="Times New Roman" w:cs="Times New Roman"/>
          <w:szCs w:val="21"/>
        </w:rPr>
        <w:t>级限定性指标要求或综合指数得分Y</w:t>
      </w:r>
      <w:r>
        <w:rPr>
          <w:rFonts w:hint="eastAsia" w:ascii="宋体" w:hAnsi="宋体" w:eastAsia="宋体" w:cs="宋体"/>
          <w:szCs w:val="21"/>
          <w:vertAlign w:val="subscript"/>
        </w:rPr>
        <w:t>Ⅲ</w:t>
      </w:r>
      <w:r>
        <w:rPr>
          <w:rFonts w:ascii="Times New Roman" w:hAnsi="Times New Roman" w:cs="Times New Roman"/>
          <w:szCs w:val="21"/>
        </w:rPr>
        <w:t>＜100分时，表明企业未达到清洁生产要求。</w:t>
      </w:r>
    </w:p>
    <w:p>
      <w:pPr>
        <w:spacing w:before="120" w:beforeLines="50" w:after="120" w:afterLines="50" w:line="300" w:lineRule="auto"/>
        <w:rPr>
          <w:rFonts w:ascii="Times New Roman" w:hAnsi="Times New Roman" w:eastAsia="黑体" w:cs="Times New Roman"/>
          <w:bCs/>
          <w:kern w:val="44"/>
          <w:szCs w:val="21"/>
        </w:rPr>
      </w:pPr>
      <w:r>
        <w:rPr>
          <w:rFonts w:ascii="Times New Roman" w:hAnsi="Times New Roman" w:eastAsia="黑体" w:cs="Times New Roman"/>
          <w:bCs/>
          <w:kern w:val="44"/>
          <w:szCs w:val="21"/>
        </w:rPr>
        <w:t>5.4 淡水养殖行业清洁生产企业的</w:t>
      </w:r>
      <w:bookmarkEnd w:id="2"/>
      <w:r>
        <w:rPr>
          <w:rFonts w:ascii="Times New Roman" w:hAnsi="Times New Roman" w:eastAsia="黑体" w:cs="Times New Roman"/>
          <w:bCs/>
          <w:kern w:val="44"/>
          <w:szCs w:val="21"/>
        </w:rPr>
        <w:t>评定</w:t>
      </w:r>
      <w:bookmarkEnd w:id="3"/>
      <w:bookmarkEnd w:id="4"/>
    </w:p>
    <w:p>
      <w:pPr>
        <w:spacing w:line="300" w:lineRule="auto"/>
        <w:ind w:firstLine="420" w:firstLineChars="200"/>
        <w:rPr>
          <w:rFonts w:ascii="Times New Roman" w:hAnsi="Times New Roman" w:cs="Times New Roman"/>
          <w:b/>
          <w:szCs w:val="21"/>
        </w:rPr>
      </w:pPr>
      <w:r>
        <w:rPr>
          <w:rFonts w:ascii="Times New Roman" w:hAnsi="Times New Roman" w:cs="Times New Roman"/>
          <w:szCs w:val="21"/>
        </w:rPr>
        <w:t>对新建淡水养殖企业或新扩改建项目、现有淡水养殖企业清洁生产水平的评价，是以其清洁生产综合评价指数为依据，对达到一定综合评价指数的企业，分别评定为国际清洁生产领先水平、国内清洁生产先进水平和国内清洁生产一般水平。根据目前我国淡水养殖业的实际情况，不同等级的清洁生产企业的综合评价指数判定值规定见表2。</w:t>
      </w:r>
    </w:p>
    <w:p>
      <w:pPr>
        <w:tabs>
          <w:tab w:val="left" w:pos="3285"/>
        </w:tabs>
        <w:spacing w:line="360" w:lineRule="auto"/>
        <w:jc w:val="center"/>
        <w:rPr>
          <w:rFonts w:ascii="Times New Roman" w:hAnsi="Times New Roman" w:cs="Times New Roman"/>
          <w:b/>
          <w:szCs w:val="21"/>
        </w:rPr>
      </w:pPr>
      <w:r>
        <w:rPr>
          <w:rFonts w:ascii="Times New Roman" w:hAnsi="Times New Roman" w:cs="Times New Roman"/>
          <w:b/>
          <w:szCs w:val="21"/>
        </w:rPr>
        <w:t>表2 淡水养殖企业不同等级清洁生产水平判定表</w:t>
      </w:r>
    </w:p>
    <w:tbl>
      <w:tblPr>
        <w:tblStyle w:val="10"/>
        <w:tblW w:w="9175"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7"/>
        <w:gridCol w:w="5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7" w:type="dxa"/>
            <w:tcBorders>
              <w:top w:val="single" w:color="auto" w:sz="18" w:space="0"/>
              <w:left w:val="single" w:color="auto" w:sz="18" w:space="0"/>
            </w:tcBorders>
            <w:vAlign w:val="center"/>
          </w:tcPr>
          <w:p>
            <w:pPr>
              <w:spacing w:line="300" w:lineRule="auto"/>
              <w:jc w:val="center"/>
              <w:textAlignment w:val="center"/>
              <w:rPr>
                <w:rFonts w:ascii="Times New Roman" w:hAnsi="Times New Roman" w:cs="Times New Roman"/>
                <w:b/>
                <w:szCs w:val="21"/>
              </w:rPr>
            </w:pPr>
            <w:r>
              <w:rPr>
                <w:rFonts w:ascii="Times New Roman" w:hAnsi="Times New Roman" w:cs="Times New Roman"/>
                <w:b/>
                <w:szCs w:val="21"/>
              </w:rPr>
              <w:t>企业清洁生产水平</w:t>
            </w:r>
          </w:p>
        </w:tc>
        <w:tc>
          <w:tcPr>
            <w:tcW w:w="5918" w:type="dxa"/>
            <w:tcBorders>
              <w:top w:val="single" w:color="auto" w:sz="18" w:space="0"/>
              <w:right w:val="single" w:color="auto" w:sz="18" w:space="0"/>
            </w:tcBorders>
            <w:vAlign w:val="center"/>
          </w:tcPr>
          <w:p>
            <w:pPr>
              <w:spacing w:line="300" w:lineRule="auto"/>
              <w:ind w:firstLine="422" w:firstLineChars="200"/>
              <w:jc w:val="center"/>
              <w:textAlignment w:val="center"/>
              <w:rPr>
                <w:rFonts w:ascii="Times New Roman" w:hAnsi="Times New Roman" w:cs="Times New Roman"/>
                <w:b/>
                <w:szCs w:val="21"/>
              </w:rPr>
            </w:pPr>
            <w:r>
              <w:rPr>
                <w:rFonts w:ascii="Times New Roman" w:hAnsi="Times New Roman" w:cs="Times New Roman"/>
                <w:b/>
                <w:szCs w:val="21"/>
              </w:rPr>
              <w:t>评定条件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3257" w:type="dxa"/>
            <w:tcBorders>
              <w:left w:val="single" w:color="auto" w:sz="18" w:space="0"/>
            </w:tcBorders>
            <w:vAlign w:val="center"/>
          </w:tcPr>
          <w:p>
            <w:pPr>
              <w:spacing w:line="300" w:lineRule="auto"/>
              <w:textAlignment w:val="center"/>
              <w:rPr>
                <w:rFonts w:ascii="Times New Roman" w:hAnsi="Times New Roman" w:cs="Times New Roman"/>
                <w:szCs w:val="21"/>
              </w:rPr>
            </w:pPr>
            <w:r>
              <w:rPr>
                <w:rFonts w:hint="eastAsia" w:ascii="宋体" w:hAnsi="宋体" w:eastAsia="宋体" w:cs="宋体"/>
                <w:szCs w:val="21"/>
              </w:rPr>
              <w:t>Ⅰ</w:t>
            </w:r>
            <w:r>
              <w:rPr>
                <w:rFonts w:ascii="Times New Roman" w:hAnsi="Times New Roman" w:cs="Times New Roman"/>
                <w:szCs w:val="21"/>
              </w:rPr>
              <w:t>级（国际清洁生产领先水平）</w:t>
            </w:r>
          </w:p>
        </w:tc>
        <w:tc>
          <w:tcPr>
            <w:tcW w:w="5918" w:type="dxa"/>
            <w:tcBorders>
              <w:right w:val="single" w:color="auto" w:sz="18" w:space="0"/>
            </w:tcBorders>
            <w:vAlign w:val="center"/>
          </w:tcPr>
          <w:p>
            <w:pPr>
              <w:spacing w:line="300" w:lineRule="auto"/>
              <w:ind w:firstLine="420" w:firstLineChars="200"/>
              <w:textAlignment w:val="center"/>
              <w:rPr>
                <w:rFonts w:ascii="Times New Roman" w:hAnsi="Times New Roman" w:cs="Times New Roman"/>
                <w:szCs w:val="21"/>
              </w:rPr>
            </w:pPr>
            <w:r>
              <w:rPr>
                <w:rFonts w:ascii="Times New Roman" w:hAnsi="Times New Roman" w:cs="Times New Roman"/>
                <w:szCs w:val="21"/>
              </w:rPr>
              <w:t>同时满足：</w:t>
            </w:r>
          </w:p>
          <w:p>
            <w:pPr>
              <w:pStyle w:val="23"/>
              <w:numPr>
                <w:ilvl w:val="0"/>
                <w:numId w:val="0"/>
              </w:numPr>
              <w:adjustRightInd w:val="0"/>
              <w:snapToGrid w:val="0"/>
              <w:spacing w:line="300" w:lineRule="auto"/>
              <w:ind w:left="420" w:leftChars="200"/>
              <w:textAlignment w:val="center"/>
              <w:rPr>
                <w:rFonts w:ascii="Times New Roman"/>
                <w:kern w:val="2"/>
                <w:szCs w:val="21"/>
              </w:rPr>
            </w:pPr>
            <w:r>
              <w:rPr>
                <w:rFonts w:ascii="Times New Roman"/>
                <w:kern w:val="2"/>
                <w:szCs w:val="21"/>
              </w:rPr>
              <w:object>
                <v:shape id="_x0000_i1053" o:spt="75" type="#_x0000_t75" style="height:15pt;width:32.25pt;" o:ole="t" filled="f" o:preferrelative="t" stroked="f" coordsize="21600,21600">
                  <v:path/>
                  <v:fill on="f" focussize="0,0"/>
                  <v:stroke on="f" joinstyle="miter"/>
                  <v:imagedata r:id="rId68" o:title=""/>
                  <o:lock v:ext="edit" aspectratio="t"/>
                  <w10:wrap type="none"/>
                  <w10:anchorlock/>
                </v:shape>
                <o:OLEObject Type="Embed" ProgID="Equation.3" ShapeID="_x0000_i1053" DrawAspect="Content" ObjectID="_1468075753" r:id="rId67">
                  <o:LockedField>false</o:LockedField>
                </o:OLEObject>
              </w:object>
            </w:r>
            <w:r>
              <w:rPr>
                <w:rFonts w:ascii="Times New Roman"/>
                <w:kern w:val="2"/>
                <w:szCs w:val="21"/>
              </w:rPr>
              <w:t>；</w:t>
            </w:r>
          </w:p>
          <w:p>
            <w:pPr>
              <w:pStyle w:val="23"/>
              <w:numPr>
                <w:ilvl w:val="0"/>
                <w:numId w:val="0"/>
              </w:numPr>
              <w:adjustRightInd w:val="0"/>
              <w:snapToGrid w:val="0"/>
              <w:spacing w:line="300" w:lineRule="auto"/>
              <w:ind w:left="420" w:leftChars="200"/>
              <w:textAlignment w:val="center"/>
              <w:rPr>
                <w:rFonts w:ascii="Times New Roman"/>
                <w:kern w:val="2"/>
                <w:szCs w:val="21"/>
              </w:rPr>
            </w:pPr>
            <w:r>
              <w:rPr>
                <w:rFonts w:ascii="Times New Roman"/>
                <w:kern w:val="2"/>
                <w:szCs w:val="21"/>
              </w:rPr>
              <w:t>限定性指标全部满足</w:t>
            </w:r>
            <w:r>
              <w:rPr>
                <w:rFonts w:hint="eastAsia" w:hAnsi="宋体" w:cs="宋体"/>
                <w:kern w:val="2"/>
                <w:szCs w:val="21"/>
              </w:rPr>
              <w:t>Ⅰ</w:t>
            </w:r>
            <w:r>
              <w:rPr>
                <w:rFonts w:ascii="Times New Roman"/>
                <w:kern w:val="2"/>
                <w:szCs w:val="21"/>
              </w:rPr>
              <w:t>级基准值要求。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7" w:type="dxa"/>
            <w:tcBorders>
              <w:left w:val="single" w:color="auto" w:sz="18" w:space="0"/>
            </w:tcBorders>
            <w:vAlign w:val="center"/>
          </w:tcPr>
          <w:p>
            <w:pPr>
              <w:spacing w:line="300" w:lineRule="auto"/>
              <w:textAlignment w:val="center"/>
              <w:rPr>
                <w:rFonts w:ascii="Times New Roman" w:hAnsi="Times New Roman" w:cs="Times New Roman"/>
                <w:szCs w:val="21"/>
              </w:rPr>
            </w:pPr>
            <w:r>
              <w:rPr>
                <w:rFonts w:hint="eastAsia" w:ascii="宋体" w:hAnsi="宋体" w:eastAsia="宋体" w:cs="宋体"/>
                <w:szCs w:val="21"/>
              </w:rPr>
              <w:t>Ⅱ</w:t>
            </w:r>
            <w:r>
              <w:rPr>
                <w:rFonts w:ascii="Times New Roman" w:hAnsi="Times New Roman" w:cs="Times New Roman"/>
                <w:szCs w:val="21"/>
              </w:rPr>
              <w:t>级（国内清洁生产先进水平）</w:t>
            </w:r>
          </w:p>
        </w:tc>
        <w:tc>
          <w:tcPr>
            <w:tcW w:w="5918" w:type="dxa"/>
            <w:tcBorders>
              <w:right w:val="single" w:color="auto" w:sz="18" w:space="0"/>
            </w:tcBorders>
            <w:vAlign w:val="center"/>
          </w:tcPr>
          <w:p>
            <w:pPr>
              <w:spacing w:line="300" w:lineRule="auto"/>
              <w:ind w:firstLine="420" w:firstLineChars="200"/>
              <w:textAlignment w:val="center"/>
              <w:rPr>
                <w:rFonts w:ascii="Times New Roman" w:hAnsi="Times New Roman" w:cs="Times New Roman"/>
                <w:szCs w:val="21"/>
              </w:rPr>
            </w:pPr>
            <w:r>
              <w:rPr>
                <w:rFonts w:ascii="Times New Roman" w:hAnsi="Times New Roman" w:cs="Times New Roman"/>
                <w:szCs w:val="21"/>
              </w:rPr>
              <w:t>同时满足：</w:t>
            </w:r>
          </w:p>
          <w:p>
            <w:pPr>
              <w:pStyle w:val="23"/>
              <w:numPr>
                <w:ilvl w:val="0"/>
                <w:numId w:val="0"/>
              </w:numPr>
              <w:adjustRightInd w:val="0"/>
              <w:snapToGrid w:val="0"/>
              <w:spacing w:line="300" w:lineRule="auto"/>
              <w:ind w:left="420" w:leftChars="200"/>
              <w:textAlignment w:val="center"/>
              <w:rPr>
                <w:rFonts w:ascii="Times New Roman"/>
                <w:kern w:val="2"/>
                <w:szCs w:val="21"/>
              </w:rPr>
            </w:pPr>
            <w:r>
              <w:rPr>
                <w:rFonts w:ascii="Times New Roman"/>
                <w:kern w:val="2"/>
                <w:szCs w:val="21"/>
              </w:rPr>
              <w:object>
                <v:shape id="_x0000_i1054" o:spt="75" type="#_x0000_t75" style="height:15pt;width:32.25pt;" o:ole="t" filled="f" o:preferrelative="t" stroked="f" coordsize="21600,21600">
                  <v:path/>
                  <v:fill on="f" focussize="0,0"/>
                  <v:stroke on="f" joinstyle="miter"/>
                  <v:imagedata r:id="rId70" o:title=""/>
                  <o:lock v:ext="edit" aspectratio="t"/>
                  <w10:wrap type="none"/>
                  <w10:anchorlock/>
                </v:shape>
                <o:OLEObject Type="Embed" ProgID="Equation.3" ShapeID="_x0000_i1054" DrawAspect="Content" ObjectID="_1468075754" r:id="rId69">
                  <o:LockedField>false</o:LockedField>
                </o:OLEObject>
              </w:object>
            </w:r>
            <w:r>
              <w:rPr>
                <w:rFonts w:ascii="Times New Roman"/>
                <w:kern w:val="2"/>
                <w:szCs w:val="21"/>
              </w:rPr>
              <w:t>；</w:t>
            </w:r>
          </w:p>
          <w:p>
            <w:pPr>
              <w:pStyle w:val="23"/>
              <w:numPr>
                <w:ilvl w:val="0"/>
                <w:numId w:val="0"/>
              </w:numPr>
              <w:adjustRightInd w:val="0"/>
              <w:snapToGrid w:val="0"/>
              <w:spacing w:line="300" w:lineRule="auto"/>
              <w:ind w:left="420" w:leftChars="200"/>
              <w:textAlignment w:val="center"/>
              <w:rPr>
                <w:rFonts w:ascii="Times New Roman"/>
                <w:kern w:val="2"/>
                <w:szCs w:val="21"/>
              </w:rPr>
            </w:pPr>
            <w:r>
              <w:rPr>
                <w:rFonts w:ascii="Times New Roman"/>
                <w:kern w:val="2"/>
                <w:szCs w:val="21"/>
              </w:rPr>
              <w:t>限定性指标全部满足</w:t>
            </w:r>
            <w:r>
              <w:rPr>
                <w:rFonts w:hint="eastAsia" w:hAnsi="宋体" w:cs="宋体"/>
                <w:kern w:val="2"/>
                <w:szCs w:val="21"/>
              </w:rPr>
              <w:t>Ⅱ</w:t>
            </w:r>
            <w:r>
              <w:rPr>
                <w:rFonts w:ascii="Times New Roman"/>
                <w:kern w:val="2"/>
                <w:szCs w:val="21"/>
              </w:rPr>
              <w:t>级基准值要求及以上。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3257" w:type="dxa"/>
            <w:tcBorders>
              <w:left w:val="single" w:color="auto" w:sz="18" w:space="0"/>
              <w:bottom w:val="single" w:color="auto" w:sz="18" w:space="0"/>
            </w:tcBorders>
            <w:vAlign w:val="center"/>
          </w:tcPr>
          <w:p>
            <w:pPr>
              <w:spacing w:line="300" w:lineRule="auto"/>
              <w:textAlignment w:val="center"/>
              <w:rPr>
                <w:rFonts w:ascii="Times New Roman" w:hAnsi="Times New Roman" w:cs="Times New Roman"/>
                <w:szCs w:val="21"/>
              </w:rPr>
            </w:pPr>
            <w:r>
              <w:rPr>
                <w:rFonts w:hint="eastAsia" w:ascii="宋体" w:hAnsi="宋体" w:eastAsia="宋体" w:cs="宋体"/>
                <w:szCs w:val="21"/>
              </w:rPr>
              <w:t>Ⅲ</w:t>
            </w:r>
            <w:r>
              <w:rPr>
                <w:rFonts w:ascii="Times New Roman" w:hAnsi="Times New Roman" w:cs="Times New Roman"/>
                <w:szCs w:val="21"/>
              </w:rPr>
              <w:t>级（国内清洁生产一般水平）</w:t>
            </w:r>
          </w:p>
        </w:tc>
        <w:tc>
          <w:tcPr>
            <w:tcW w:w="5918" w:type="dxa"/>
            <w:tcBorders>
              <w:bottom w:val="single" w:color="auto" w:sz="18" w:space="0"/>
              <w:right w:val="single" w:color="auto" w:sz="18" w:space="0"/>
            </w:tcBorders>
            <w:vAlign w:val="center"/>
          </w:tcPr>
          <w:p>
            <w:pPr>
              <w:spacing w:line="300" w:lineRule="auto"/>
              <w:ind w:firstLine="420" w:firstLineChars="200"/>
              <w:textAlignment w:val="center"/>
              <w:rPr>
                <w:rFonts w:ascii="Times New Roman" w:hAnsi="Times New Roman" w:cs="Times New Roman"/>
                <w:szCs w:val="21"/>
              </w:rPr>
            </w:pPr>
            <w:r>
              <w:rPr>
                <w:rFonts w:ascii="Times New Roman" w:hAnsi="Times New Roman" w:cs="Times New Roman"/>
                <w:szCs w:val="21"/>
              </w:rPr>
              <w:t>满足</w:t>
            </w:r>
            <w:r>
              <w:rPr>
                <w:rFonts w:ascii="Times New Roman" w:hAnsi="Times New Roman" w:cs="Times New Roman"/>
                <w:szCs w:val="21"/>
              </w:rPr>
              <w:object>
                <v:shape id="_x0000_i1055" o:spt="75" type="#_x0000_t75" style="height:15pt;width:38.25pt;" o:ole="t" filled="f" o:preferrelative="t" stroked="f" coordsize="21600,21600">
                  <v:path/>
                  <v:fill on="f" focussize="0,0"/>
                  <v:stroke on="f" joinstyle="miter"/>
                  <v:imagedata r:id="rId72" o:title=""/>
                  <o:lock v:ext="edit" aspectratio="t"/>
                  <w10:wrap type="none"/>
                  <w10:anchorlock/>
                </v:shape>
                <o:OLEObject Type="Embed" ProgID="Equation.3" ShapeID="_x0000_i1055" DrawAspect="Content" ObjectID="_1468075755" r:id="rId71">
                  <o:LockedField>false</o:LockedField>
                </o:OLEObject>
              </w:object>
            </w:r>
            <w:r>
              <w:rPr>
                <w:rFonts w:ascii="Times New Roman" w:hAnsi="Times New Roman" w:cs="Times New Roman"/>
                <w:szCs w:val="21"/>
              </w:rPr>
              <w:t>。</w:t>
            </w:r>
          </w:p>
        </w:tc>
      </w:tr>
    </w:tbl>
    <w:p>
      <w:pPr>
        <w:pStyle w:val="2"/>
        <w:adjustRightInd w:val="0"/>
        <w:snapToGrid w:val="0"/>
        <w:spacing w:before="240" w:beforeLines="100" w:after="240" w:afterLines="100"/>
        <w:textAlignment w:val="center"/>
        <w:rPr>
          <w:rFonts w:ascii="Times New Roman" w:hAnsi="Times New Roman" w:eastAsia="黑体"/>
          <w:b w:val="0"/>
          <w:bCs w:val="0"/>
          <w:kern w:val="2"/>
          <w:sz w:val="21"/>
          <w:szCs w:val="21"/>
        </w:rPr>
      </w:pPr>
      <w:r>
        <w:rPr>
          <w:rFonts w:ascii="Times New Roman" w:hAnsi="Times New Roman" w:eastAsia="黑体"/>
          <w:b w:val="0"/>
          <w:bCs w:val="0"/>
          <w:kern w:val="2"/>
          <w:sz w:val="21"/>
          <w:szCs w:val="21"/>
        </w:rPr>
        <w:t>6 指标解释与数据来源</w:t>
      </w:r>
    </w:p>
    <w:p>
      <w:pPr>
        <w:spacing w:before="120" w:beforeLines="50" w:after="120" w:afterLines="50"/>
        <w:outlineLvl w:val="1"/>
        <w:rPr>
          <w:rFonts w:ascii="Times New Roman" w:hAnsi="Times New Roman" w:eastAsia="黑体" w:cs="Times New Roman"/>
          <w:bCs/>
          <w:kern w:val="44"/>
          <w:szCs w:val="21"/>
        </w:rPr>
      </w:pPr>
      <w:r>
        <w:rPr>
          <w:rFonts w:ascii="Times New Roman" w:hAnsi="Times New Roman" w:eastAsia="黑体" w:cs="Times New Roman"/>
          <w:bCs/>
          <w:kern w:val="44"/>
          <w:szCs w:val="21"/>
        </w:rPr>
        <w:t>6.1 指标解释</w:t>
      </w:r>
    </w:p>
    <w:p>
      <w:pPr>
        <w:spacing w:before="120" w:beforeLines="50" w:after="120" w:afterLines="50"/>
        <w:outlineLvl w:val="2"/>
        <w:rPr>
          <w:rFonts w:ascii="Times New Roman" w:hAnsi="Times New Roman" w:eastAsia="黑体" w:cs="Times New Roman"/>
          <w:bCs/>
          <w:kern w:val="44"/>
          <w:szCs w:val="21"/>
        </w:rPr>
      </w:pPr>
      <w:r>
        <w:rPr>
          <w:rFonts w:ascii="Times New Roman" w:hAnsi="Times New Roman" w:eastAsia="黑体" w:cs="Times New Roman"/>
          <w:bCs/>
          <w:kern w:val="44"/>
          <w:szCs w:val="21"/>
        </w:rPr>
        <w:t>6.1.1 补充水量</w:t>
      </w:r>
    </w:p>
    <w:p>
      <w:pPr>
        <w:autoSpaceDE w:val="0"/>
        <w:autoSpaceDN w:val="0"/>
        <w:adjustRightInd w:val="0"/>
        <w:spacing w:line="30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补充水量是指企业内部在一定的计量时间内（年），在养殖生产全过程中，补充的水量与养殖总产量的比值。</w:t>
      </w:r>
    </w:p>
    <w:p>
      <w:pPr>
        <w:wordWrap w:val="0"/>
        <w:autoSpaceDE w:val="0"/>
        <w:autoSpaceDN w:val="0"/>
        <w:adjustRightInd w:val="0"/>
        <w:spacing w:line="300" w:lineRule="auto"/>
        <w:jc w:val="right"/>
        <w:rPr>
          <w:rFonts w:ascii="Times New Roman" w:hAnsi="Times New Roman" w:eastAsia="宋体" w:cs="Times New Roman"/>
          <w:kern w:val="0"/>
          <w:szCs w:val="21"/>
        </w:rPr>
      </w:pPr>
      <m:oMath>
        <m:r>
          <m:rPr>
            <m:sty m:val="p"/>
          </m:rPr>
          <w:rPr>
            <w:rFonts w:ascii="Cambria Math" w:hAnsi="Cambria Math" w:eastAsia="宋体" w:cs="Times New Roman"/>
            <w:kern w:val="0"/>
            <w:szCs w:val="21"/>
          </w:rPr>
          <m:t>W=</m:t>
        </m:r>
        <m:f>
          <m:fPr>
            <m:ctrlPr>
              <w:rPr>
                <w:rFonts w:ascii="Cambria Math" w:hAnsi="Cambria Math" w:eastAsia="宋体" w:cs="Times New Roman"/>
                <w:kern w:val="0"/>
                <w:szCs w:val="21"/>
              </w:rPr>
            </m:ctrlPr>
          </m:fPr>
          <m:num>
            <m:sSub>
              <m:sSubPr>
                <m:ctrlPr>
                  <w:rPr>
                    <w:rFonts w:ascii="Cambria Math" w:hAnsi="Cambria Math" w:eastAsia="宋体" w:cs="Times New Roman"/>
                    <w:kern w:val="0"/>
                    <w:szCs w:val="21"/>
                  </w:rPr>
                </m:ctrlPr>
              </m:sSubPr>
              <m:e>
                <m:r>
                  <m:rPr>
                    <m:sty m:val="p"/>
                  </m:rPr>
                  <w:rPr>
                    <w:rFonts w:ascii="Cambria Math" w:hAnsi="Cambria Math" w:eastAsia="宋体" w:cs="Times New Roman"/>
                    <w:kern w:val="0"/>
                    <w:szCs w:val="21"/>
                  </w:rPr>
                  <m:t>V</m:t>
                </m:r>
                <m:ctrlPr>
                  <w:rPr>
                    <w:rFonts w:ascii="Cambria Math" w:hAnsi="Cambria Math" w:eastAsia="宋体" w:cs="Times New Roman"/>
                    <w:kern w:val="0"/>
                    <w:szCs w:val="21"/>
                  </w:rPr>
                </m:ctrlPr>
              </m:e>
              <m:sub>
                <m:r>
                  <m:rPr>
                    <m:sty m:val="p"/>
                  </m:rPr>
                  <w:rPr>
                    <w:rFonts w:ascii="Cambria Math" w:hAnsi="Cambria Math" w:eastAsia="宋体" w:cs="Times New Roman"/>
                    <w:kern w:val="0"/>
                    <w:szCs w:val="21"/>
                  </w:rPr>
                  <m:t>增</m:t>
                </m:r>
                <m:ctrlPr>
                  <w:rPr>
                    <w:rFonts w:ascii="Cambria Math" w:hAnsi="Cambria Math" w:eastAsia="宋体" w:cs="Times New Roman"/>
                    <w:kern w:val="0"/>
                    <w:szCs w:val="21"/>
                  </w:rPr>
                </m:ctrlPr>
              </m:sub>
            </m:sSub>
            <m:ctrlPr>
              <w:rPr>
                <w:rFonts w:ascii="Cambria Math" w:hAnsi="Cambria Math" w:eastAsia="宋体" w:cs="Times New Roman"/>
                <w:kern w:val="0"/>
                <w:szCs w:val="21"/>
              </w:rPr>
            </m:ctrlPr>
          </m:num>
          <m:den>
            <m:r>
              <m:rPr>
                <m:sty m:val="p"/>
              </m:rPr>
              <w:rPr>
                <w:rFonts w:ascii="Cambria Math" w:hAnsi="Cambria Math" w:eastAsia="宋体" w:cs="Times New Roman"/>
                <w:kern w:val="0"/>
                <w:szCs w:val="21"/>
              </w:rPr>
              <m:t>G</m:t>
            </m:r>
            <m:ctrlPr>
              <w:rPr>
                <w:rFonts w:ascii="Cambria Math" w:hAnsi="Cambria Math" w:eastAsia="宋体" w:cs="Times New Roman"/>
                <w:kern w:val="0"/>
                <w:szCs w:val="21"/>
              </w:rPr>
            </m:ctrlPr>
          </m:den>
        </m:f>
      </m:oMath>
      <w:r>
        <w:rPr>
          <w:rFonts w:ascii="Times New Roman" w:hAnsi="Times New Roman" w:eastAsia="宋体" w:cs="Times New Roman"/>
          <w:kern w:val="0"/>
          <w:szCs w:val="21"/>
        </w:rPr>
        <w:t xml:space="preserve">                                  (6-1)</w:t>
      </w:r>
    </w:p>
    <w:p>
      <w:pPr>
        <w:autoSpaceDE w:val="0"/>
        <w:autoSpaceDN w:val="0"/>
        <w:adjustRightInd w:val="0"/>
        <w:spacing w:line="300" w:lineRule="auto"/>
        <w:jc w:val="right"/>
        <w:rPr>
          <w:rFonts w:ascii="Times New Roman" w:hAnsi="Times New Roman" w:eastAsia="宋体" w:cs="Times New Roman"/>
          <w:kern w:val="0"/>
          <w:szCs w:val="21"/>
        </w:rPr>
      </w:pP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式中：W—补充水量，m</w:t>
      </w:r>
      <w:r>
        <w:rPr>
          <w:rFonts w:ascii="Times New Roman" w:hAnsi="Times New Roman" w:eastAsia="宋体" w:cs="Times New Roman"/>
          <w:szCs w:val="21"/>
          <w:vertAlign w:val="superscript"/>
        </w:rPr>
        <w:t>3</w:t>
      </w:r>
      <w:r>
        <w:rPr>
          <w:rFonts w:ascii="Times New Roman" w:hAnsi="Times New Roman" w:eastAsia="宋体" w:cs="Times New Roman"/>
          <w:szCs w:val="21"/>
        </w:rPr>
        <w:t xml:space="preserve">/kg； </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V增—新鲜水总用量，m</w:t>
      </w:r>
      <w:r>
        <w:rPr>
          <w:rFonts w:ascii="Times New Roman" w:hAnsi="Times New Roman" w:eastAsia="宋体" w:cs="Times New Roman"/>
          <w:szCs w:val="21"/>
          <w:vertAlign w:val="superscript"/>
        </w:rPr>
        <w:t>3</w:t>
      </w:r>
      <w:r>
        <w:rPr>
          <w:rFonts w:ascii="Times New Roman" w:hAnsi="Times New Roman" w:eastAsia="宋体" w:cs="Times New Roman"/>
          <w:szCs w:val="21"/>
        </w:rPr>
        <w:t>；</w:t>
      </w:r>
    </w:p>
    <w:p>
      <w:pPr>
        <w:spacing w:line="300" w:lineRule="auto"/>
        <w:ind w:firstLine="420" w:firstLineChars="200"/>
        <w:rPr>
          <w:rFonts w:hint="eastAsia" w:ascii="Times New Roman" w:hAnsi="Times New Roman" w:eastAsia="宋体" w:cs="Times New Roman"/>
          <w:szCs w:val="21"/>
          <w:lang w:eastAsia="zh-CN"/>
        </w:rPr>
      </w:pPr>
      <w:r>
        <w:rPr>
          <w:rFonts w:ascii="Times New Roman" w:hAnsi="Times New Roman" w:eastAsia="宋体" w:cs="Times New Roman"/>
          <w:szCs w:val="21"/>
        </w:rPr>
        <w:t>G—养殖总产量，</w:t>
      </w:r>
      <w:r>
        <w:rPr>
          <w:rFonts w:hint="eastAsia" w:ascii="Times New Roman" w:hAnsi="Times New Roman" w:eastAsia="宋体" w:cs="Times New Roman"/>
          <w:szCs w:val="21"/>
        </w:rPr>
        <w:t>k</w:t>
      </w:r>
      <w:r>
        <w:rPr>
          <w:rFonts w:ascii="Times New Roman" w:hAnsi="Times New Roman" w:eastAsia="宋体" w:cs="Times New Roman"/>
          <w:szCs w:val="21"/>
        </w:rPr>
        <w:t>g</w:t>
      </w:r>
      <w:r>
        <w:rPr>
          <w:rFonts w:hint="eastAsia" w:ascii="Times New Roman" w:hAnsi="Times New Roman" w:eastAsia="宋体" w:cs="Times New Roman"/>
          <w:szCs w:val="21"/>
          <w:lang w:eastAsia="zh-CN"/>
        </w:rPr>
        <w:t>。</w:t>
      </w:r>
    </w:p>
    <w:p>
      <w:pPr>
        <w:spacing w:before="120" w:beforeLines="50" w:after="120" w:afterLines="50"/>
        <w:outlineLvl w:val="2"/>
        <w:rPr>
          <w:rFonts w:ascii="Times New Roman" w:hAnsi="Times New Roman" w:eastAsia="黑体" w:cs="Times New Roman"/>
          <w:bCs/>
          <w:kern w:val="44"/>
          <w:szCs w:val="21"/>
        </w:rPr>
      </w:pPr>
      <w:r>
        <w:rPr>
          <w:rFonts w:ascii="Times New Roman" w:hAnsi="Times New Roman" w:eastAsia="黑体" w:cs="Times New Roman"/>
          <w:bCs/>
          <w:kern w:val="44"/>
          <w:szCs w:val="21"/>
        </w:rPr>
        <w:t>6.1.2 饲料系数</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饲料系数是指养殖对象增加一单位重量所消耗饲料的质量。</w:t>
      </w:r>
    </w:p>
    <w:p>
      <w:pPr>
        <w:wordWrap w:val="0"/>
        <w:autoSpaceDE w:val="0"/>
        <w:autoSpaceDN w:val="0"/>
        <w:adjustRightInd w:val="0"/>
        <w:spacing w:line="360" w:lineRule="auto"/>
        <w:jc w:val="right"/>
        <w:rPr>
          <w:rFonts w:ascii="Times New Roman" w:hAnsi="Times New Roman" w:eastAsia="宋体" w:cs="Times New Roman"/>
          <w:kern w:val="0"/>
          <w:szCs w:val="21"/>
        </w:rPr>
      </w:pPr>
      <m:oMath>
        <m:sSub>
          <m:sSubPr>
            <m:ctrlPr>
              <w:rPr>
                <w:rFonts w:ascii="Cambria Math" w:hAnsi="Cambria Math" w:eastAsia="宋体" w:cs="Times New Roman"/>
                <w:kern w:val="0"/>
                <w:szCs w:val="21"/>
              </w:rPr>
            </m:ctrlPr>
          </m:sSubPr>
          <m:e>
            <m:r>
              <m:rPr>
                <m:sty m:val="p"/>
              </m:rPr>
              <w:rPr>
                <w:rFonts w:ascii="Cambria Math" w:hAnsi="Cambria Math" w:eastAsia="宋体" w:cs="Times New Roman"/>
                <w:kern w:val="0"/>
                <w:szCs w:val="21"/>
              </w:rPr>
              <m:t>W</m:t>
            </m:r>
            <m:ctrlPr>
              <w:rPr>
                <w:rFonts w:ascii="Cambria Math" w:hAnsi="Cambria Math" w:eastAsia="宋体" w:cs="Times New Roman"/>
                <w:kern w:val="0"/>
                <w:szCs w:val="21"/>
              </w:rPr>
            </m:ctrlPr>
          </m:e>
          <m:sub>
            <m:r>
              <w:rPr>
                <w:rFonts w:ascii="Cambria Math" w:hAnsi="Cambria Math" w:eastAsia="宋体" w:cs="Times New Roman"/>
                <w:kern w:val="0"/>
                <w:szCs w:val="21"/>
              </w:rPr>
              <m:t>1</m:t>
            </m:r>
            <m:ctrlPr>
              <w:rPr>
                <w:rFonts w:ascii="Cambria Math" w:hAnsi="Cambria Math" w:eastAsia="宋体" w:cs="Times New Roman"/>
                <w:kern w:val="0"/>
                <w:szCs w:val="21"/>
              </w:rPr>
            </m:ctrlPr>
          </m:sub>
        </m:sSub>
        <m:r>
          <m:rPr>
            <m:sty m:val="p"/>
          </m:rPr>
          <w:rPr>
            <w:rFonts w:ascii="Cambria Math" w:hAnsi="Cambria Math" w:eastAsia="宋体" w:cs="Times New Roman"/>
            <w:kern w:val="0"/>
            <w:szCs w:val="21"/>
          </w:rPr>
          <m:t>=</m:t>
        </m:r>
        <m:f>
          <m:fPr>
            <m:ctrlPr>
              <w:rPr>
                <w:rFonts w:ascii="Cambria Math" w:hAnsi="Cambria Math" w:eastAsia="宋体" w:cs="Times New Roman"/>
                <w:kern w:val="0"/>
                <w:szCs w:val="21"/>
              </w:rPr>
            </m:ctrlPr>
          </m:fPr>
          <m:num>
            <m:sSub>
              <m:sSubPr>
                <m:ctrlPr>
                  <w:rPr>
                    <w:rFonts w:ascii="Cambria Math" w:hAnsi="Cambria Math" w:eastAsia="宋体" w:cs="Times New Roman"/>
                    <w:kern w:val="0"/>
                    <w:szCs w:val="21"/>
                  </w:rPr>
                </m:ctrlPr>
              </m:sSubPr>
              <m:e>
                <m:r>
                  <m:rPr>
                    <m:sty m:val="p"/>
                  </m:rPr>
                  <w:rPr>
                    <w:rFonts w:ascii="Cambria Math" w:hAnsi="Cambria Math" w:eastAsia="宋体" w:cs="Times New Roman"/>
                    <w:kern w:val="0"/>
                    <w:szCs w:val="21"/>
                  </w:rPr>
                  <m:t>G</m:t>
                </m:r>
                <m:ctrlPr>
                  <w:rPr>
                    <w:rFonts w:ascii="Cambria Math" w:hAnsi="Cambria Math" w:eastAsia="宋体" w:cs="Times New Roman"/>
                    <w:kern w:val="0"/>
                    <w:szCs w:val="21"/>
                  </w:rPr>
                </m:ctrlPr>
              </m:e>
              <m:sub>
                <m:r>
                  <m:rPr>
                    <m:sty m:val="p"/>
                  </m:rPr>
                  <w:rPr>
                    <w:rFonts w:ascii="Cambria Math" w:hAnsi="Cambria Math" w:eastAsia="宋体" w:cs="Times New Roman"/>
                    <w:kern w:val="0"/>
                    <w:szCs w:val="21"/>
                  </w:rPr>
                  <m:t>饲</m:t>
                </m:r>
                <m:ctrlPr>
                  <w:rPr>
                    <w:rFonts w:ascii="Cambria Math" w:hAnsi="Cambria Math" w:eastAsia="宋体" w:cs="Times New Roman"/>
                    <w:kern w:val="0"/>
                    <w:szCs w:val="21"/>
                  </w:rPr>
                </m:ctrlPr>
              </m:sub>
            </m:sSub>
            <m:ctrlPr>
              <w:rPr>
                <w:rFonts w:ascii="Cambria Math" w:hAnsi="Cambria Math" w:eastAsia="宋体" w:cs="Times New Roman"/>
                <w:kern w:val="0"/>
                <w:szCs w:val="21"/>
              </w:rPr>
            </m:ctrlPr>
          </m:num>
          <m:den>
            <m:sSub>
              <m:sSubPr>
                <m:ctrlPr>
                  <w:rPr>
                    <w:rFonts w:ascii="Cambria Math" w:hAnsi="Cambria Math" w:eastAsia="宋体" w:cs="Times New Roman"/>
                    <w:kern w:val="0"/>
                    <w:szCs w:val="21"/>
                  </w:rPr>
                </m:ctrlPr>
              </m:sSubPr>
              <m:e>
                <m:r>
                  <m:rPr>
                    <m:sty m:val="p"/>
                  </m:rPr>
                  <w:rPr>
                    <w:rFonts w:ascii="Cambria Math" w:hAnsi="Cambria Math" w:eastAsia="宋体" w:cs="Times New Roman"/>
                    <w:kern w:val="0"/>
                    <w:szCs w:val="21"/>
                  </w:rPr>
                  <m:t>G</m:t>
                </m:r>
                <m:ctrlPr>
                  <w:rPr>
                    <w:rFonts w:ascii="Cambria Math" w:hAnsi="Cambria Math" w:eastAsia="宋体" w:cs="Times New Roman"/>
                    <w:kern w:val="0"/>
                    <w:szCs w:val="21"/>
                  </w:rPr>
                </m:ctrlPr>
              </m:e>
              <m:sub>
                <m:r>
                  <m:rPr>
                    <m:sty m:val="p"/>
                  </m:rPr>
                  <w:rPr>
                    <w:rFonts w:ascii="Cambria Math" w:hAnsi="Cambria Math" w:eastAsia="宋体" w:cs="Times New Roman"/>
                    <w:kern w:val="0"/>
                    <w:szCs w:val="21"/>
                  </w:rPr>
                  <m:t>水</m:t>
                </m:r>
                <m:ctrlPr>
                  <w:rPr>
                    <w:rFonts w:ascii="Cambria Math" w:hAnsi="Cambria Math" w:eastAsia="宋体" w:cs="Times New Roman"/>
                    <w:kern w:val="0"/>
                    <w:szCs w:val="21"/>
                  </w:rPr>
                </m:ctrlPr>
              </m:sub>
            </m:sSub>
            <m:ctrlPr>
              <w:rPr>
                <w:rFonts w:ascii="Cambria Math" w:hAnsi="Cambria Math" w:eastAsia="宋体" w:cs="Times New Roman"/>
                <w:kern w:val="0"/>
                <w:szCs w:val="21"/>
              </w:rPr>
            </m:ctrlPr>
          </m:den>
        </m:f>
      </m:oMath>
      <w:r>
        <w:rPr>
          <w:rFonts w:ascii="Times New Roman" w:hAnsi="Times New Roman" w:eastAsia="宋体" w:cs="Times New Roman"/>
          <w:kern w:val="0"/>
          <w:szCs w:val="21"/>
        </w:rPr>
        <w:t xml:space="preserve">                                 (6-2)</w:t>
      </w:r>
    </w:p>
    <w:p>
      <w:pPr>
        <w:autoSpaceDE w:val="0"/>
        <w:autoSpaceDN w:val="0"/>
        <w:adjustRightInd w:val="0"/>
        <w:spacing w:line="360" w:lineRule="auto"/>
        <w:jc w:val="right"/>
        <w:rPr>
          <w:rFonts w:ascii="Times New Roman" w:hAnsi="Times New Roman" w:eastAsia="宋体" w:cs="Times New Roman"/>
          <w:kern w:val="0"/>
          <w:szCs w:val="21"/>
        </w:rPr>
      </w:pPr>
    </w:p>
    <w:p>
      <w:pPr>
        <w:autoSpaceDE w:val="0"/>
        <w:autoSpaceDN w:val="0"/>
        <w:adjustRightInd w:val="0"/>
        <w:spacing w:line="30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式中：W</w:t>
      </w:r>
      <w:r>
        <w:rPr>
          <w:rFonts w:ascii="Times New Roman" w:hAnsi="Times New Roman" w:eastAsia="宋体" w:cs="Times New Roman"/>
          <w:szCs w:val="21"/>
          <w:vertAlign w:val="subscript"/>
        </w:rPr>
        <w:t>1</w:t>
      </w:r>
      <w:r>
        <w:rPr>
          <w:rFonts w:ascii="Times New Roman" w:hAnsi="Times New Roman" w:eastAsia="宋体" w:cs="Times New Roman"/>
          <w:szCs w:val="21"/>
        </w:rPr>
        <w:t>—饲料系数；</w:t>
      </w:r>
    </w:p>
    <w:p>
      <w:pPr>
        <w:autoSpaceDE w:val="0"/>
        <w:autoSpaceDN w:val="0"/>
        <w:adjustRightInd w:val="0"/>
        <w:spacing w:line="30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G</w:t>
      </w:r>
      <w:r>
        <w:rPr>
          <w:rFonts w:ascii="Times New Roman" w:hAnsi="Times New Roman" w:eastAsia="宋体" w:cs="Times New Roman"/>
          <w:szCs w:val="21"/>
          <w:vertAlign w:val="subscript"/>
        </w:rPr>
        <w:t>饲</w:t>
      </w:r>
      <w:r>
        <w:rPr>
          <w:rFonts w:ascii="Times New Roman" w:hAnsi="Times New Roman" w:eastAsia="宋体" w:cs="Times New Roman"/>
          <w:szCs w:val="21"/>
        </w:rPr>
        <w:t>—消耗饲料的质量，</w:t>
      </w:r>
      <w:r>
        <w:rPr>
          <w:rFonts w:hint="eastAsia" w:ascii="Times New Roman" w:hAnsi="Times New Roman" w:eastAsia="宋体" w:cs="Times New Roman"/>
          <w:szCs w:val="21"/>
        </w:rPr>
        <w:t>k</w:t>
      </w:r>
      <w:r>
        <w:rPr>
          <w:rFonts w:ascii="Times New Roman" w:hAnsi="Times New Roman" w:eastAsia="宋体" w:cs="Times New Roman"/>
          <w:szCs w:val="21"/>
        </w:rPr>
        <w:t>g；</w:t>
      </w:r>
    </w:p>
    <w:p>
      <w:pPr>
        <w:autoSpaceDE w:val="0"/>
        <w:autoSpaceDN w:val="0"/>
        <w:adjustRightInd w:val="0"/>
        <w:spacing w:line="300" w:lineRule="auto"/>
        <w:ind w:firstLine="420" w:firstLineChars="200"/>
        <w:jc w:val="left"/>
        <w:rPr>
          <w:rFonts w:hint="eastAsia" w:ascii="Times New Roman" w:hAnsi="Times New Roman" w:eastAsia="宋体" w:cs="Times New Roman"/>
          <w:szCs w:val="21"/>
          <w:lang w:eastAsia="zh-CN"/>
        </w:rPr>
      </w:pPr>
      <w:r>
        <w:rPr>
          <w:rFonts w:ascii="Times New Roman" w:hAnsi="Times New Roman" w:eastAsia="宋体" w:cs="Times New Roman"/>
          <w:szCs w:val="21"/>
        </w:rPr>
        <w:t>G</w:t>
      </w:r>
      <w:r>
        <w:rPr>
          <w:rFonts w:ascii="Times New Roman" w:hAnsi="Times New Roman" w:eastAsia="宋体" w:cs="Times New Roman"/>
          <w:szCs w:val="21"/>
          <w:vertAlign w:val="subscript"/>
        </w:rPr>
        <w:t>水</w:t>
      </w:r>
      <w:r>
        <w:rPr>
          <w:rFonts w:ascii="Times New Roman" w:hAnsi="Times New Roman" w:eastAsia="宋体" w:cs="Times New Roman"/>
          <w:szCs w:val="21"/>
        </w:rPr>
        <w:t>—水产品增加质量，</w:t>
      </w:r>
      <w:r>
        <w:rPr>
          <w:rFonts w:hint="eastAsia" w:ascii="Times New Roman" w:hAnsi="Times New Roman" w:eastAsia="宋体" w:cs="Times New Roman"/>
          <w:szCs w:val="21"/>
        </w:rPr>
        <w:t>k</w:t>
      </w:r>
      <w:r>
        <w:rPr>
          <w:rFonts w:ascii="Times New Roman" w:hAnsi="Times New Roman" w:eastAsia="宋体" w:cs="Times New Roman"/>
          <w:szCs w:val="21"/>
        </w:rPr>
        <w:t>g</w:t>
      </w:r>
      <w:r>
        <w:rPr>
          <w:rFonts w:hint="eastAsia" w:ascii="Times New Roman" w:hAnsi="Times New Roman" w:eastAsia="宋体" w:cs="Times New Roman"/>
          <w:szCs w:val="21"/>
          <w:lang w:eastAsia="zh-CN"/>
        </w:rPr>
        <w:t>。</w:t>
      </w:r>
    </w:p>
    <w:p>
      <w:pPr>
        <w:spacing w:before="120" w:beforeLines="50" w:after="120" w:afterLines="50"/>
        <w:outlineLvl w:val="2"/>
        <w:rPr>
          <w:rFonts w:ascii="Times New Roman" w:hAnsi="Times New Roman" w:eastAsia="黑体" w:cs="Times New Roman"/>
          <w:bCs/>
          <w:kern w:val="44"/>
          <w:szCs w:val="21"/>
        </w:rPr>
      </w:pPr>
      <w:r>
        <w:rPr>
          <w:rFonts w:ascii="Times New Roman" w:hAnsi="Times New Roman" w:eastAsia="黑体" w:cs="Times New Roman"/>
          <w:bCs/>
          <w:kern w:val="44"/>
          <w:szCs w:val="21"/>
        </w:rPr>
        <w:t>6.1.3电耗</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电耗是指企业内部在一定的计量时间内（年），在养殖生产全过程中，生产设备消耗的电量与养殖产量的比值。</w:t>
      </w:r>
    </w:p>
    <w:p>
      <w:pPr>
        <w:wordWrap w:val="0"/>
        <w:autoSpaceDE w:val="0"/>
        <w:autoSpaceDN w:val="0"/>
        <w:adjustRightInd w:val="0"/>
        <w:spacing w:line="360" w:lineRule="auto"/>
        <w:jc w:val="right"/>
        <w:rPr>
          <w:rFonts w:ascii="Times New Roman" w:hAnsi="Times New Roman" w:eastAsia="宋体" w:cs="Times New Roman"/>
          <w:kern w:val="0"/>
          <w:szCs w:val="21"/>
        </w:rPr>
      </w:pPr>
      <m:oMath>
        <m:sSub>
          <m:sSubPr>
            <m:ctrlPr>
              <w:rPr>
                <w:rFonts w:ascii="Cambria Math" w:hAnsi="Cambria Math" w:eastAsia="宋体" w:cs="Times New Roman"/>
                <w:kern w:val="0"/>
                <w:szCs w:val="21"/>
              </w:rPr>
            </m:ctrlPr>
          </m:sSubPr>
          <m:e>
            <m:r>
              <m:rPr>
                <m:sty m:val="p"/>
              </m:rPr>
              <w:rPr>
                <w:rFonts w:ascii="Cambria Math" w:hAnsi="Cambria Math" w:eastAsia="宋体" w:cs="Times New Roman"/>
                <w:kern w:val="0"/>
                <w:szCs w:val="21"/>
              </w:rPr>
              <m:t>W</m:t>
            </m:r>
            <m:ctrlPr>
              <w:rPr>
                <w:rFonts w:ascii="Cambria Math" w:hAnsi="Cambria Math" w:eastAsia="宋体" w:cs="Times New Roman"/>
                <w:kern w:val="0"/>
                <w:szCs w:val="21"/>
              </w:rPr>
            </m:ctrlPr>
          </m:e>
          <m:sub>
            <m:r>
              <w:rPr>
                <w:rFonts w:ascii="Cambria Math" w:hAnsi="Cambria Math" w:eastAsia="宋体" w:cs="Times New Roman"/>
                <w:kern w:val="0"/>
                <w:szCs w:val="21"/>
              </w:rPr>
              <m:t>2</m:t>
            </m:r>
            <m:ctrlPr>
              <w:rPr>
                <w:rFonts w:ascii="Cambria Math" w:hAnsi="Cambria Math" w:eastAsia="宋体" w:cs="Times New Roman"/>
                <w:kern w:val="0"/>
                <w:szCs w:val="21"/>
              </w:rPr>
            </m:ctrlPr>
          </m:sub>
        </m:sSub>
        <m:r>
          <m:rPr>
            <m:sty m:val="p"/>
          </m:rPr>
          <w:rPr>
            <w:rFonts w:ascii="Cambria Math" w:hAnsi="Cambria Math" w:eastAsia="宋体" w:cs="Times New Roman"/>
            <w:kern w:val="0"/>
            <w:szCs w:val="21"/>
          </w:rPr>
          <m:t>=</m:t>
        </m:r>
        <m:f>
          <m:fPr>
            <m:ctrlPr>
              <w:rPr>
                <w:rFonts w:ascii="Cambria Math" w:hAnsi="Cambria Math" w:eastAsia="宋体" w:cs="Times New Roman"/>
                <w:kern w:val="0"/>
                <w:szCs w:val="21"/>
              </w:rPr>
            </m:ctrlPr>
          </m:fPr>
          <m:num>
            <m:r>
              <w:rPr>
                <w:rFonts w:ascii="Cambria Math" w:hAnsi="Cambria Math" w:eastAsia="宋体" w:cs="Times New Roman"/>
                <w:kern w:val="0"/>
                <w:szCs w:val="21"/>
              </w:rPr>
              <m:t>C</m:t>
            </m:r>
            <m:ctrlPr>
              <w:rPr>
                <w:rFonts w:ascii="Cambria Math" w:hAnsi="Cambria Math" w:eastAsia="宋体" w:cs="Times New Roman"/>
                <w:kern w:val="0"/>
                <w:szCs w:val="21"/>
              </w:rPr>
            </m:ctrlPr>
          </m:num>
          <m:den>
            <m:r>
              <m:rPr>
                <m:sty m:val="p"/>
              </m:rPr>
              <w:rPr>
                <w:rFonts w:ascii="Cambria Math" w:hAnsi="Cambria Math" w:eastAsia="宋体" w:cs="Times New Roman"/>
                <w:kern w:val="0"/>
                <w:szCs w:val="21"/>
              </w:rPr>
              <m:t>G</m:t>
            </m:r>
            <m:ctrlPr>
              <w:rPr>
                <w:rFonts w:ascii="Cambria Math" w:hAnsi="Cambria Math" w:eastAsia="宋体" w:cs="Times New Roman"/>
                <w:kern w:val="0"/>
                <w:szCs w:val="21"/>
              </w:rPr>
            </m:ctrlPr>
          </m:den>
        </m:f>
      </m:oMath>
      <w:r>
        <w:rPr>
          <w:rFonts w:ascii="Times New Roman" w:hAnsi="Times New Roman" w:eastAsia="宋体" w:cs="Times New Roman"/>
          <w:kern w:val="0"/>
          <w:szCs w:val="21"/>
        </w:rPr>
        <w:t xml:space="preserve">                               (6-3)</w:t>
      </w:r>
    </w:p>
    <w:p>
      <w:pPr>
        <w:autoSpaceDE w:val="0"/>
        <w:autoSpaceDN w:val="0"/>
        <w:adjustRightInd w:val="0"/>
        <w:spacing w:line="360" w:lineRule="auto"/>
        <w:jc w:val="right"/>
        <w:rPr>
          <w:rFonts w:ascii="Times New Roman" w:hAnsi="Times New Roman" w:eastAsia="宋体" w:cs="Times New Roman"/>
          <w:kern w:val="0"/>
          <w:szCs w:val="21"/>
        </w:rPr>
      </w:pP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式中：W</w:t>
      </w:r>
      <w:r>
        <w:rPr>
          <w:rFonts w:ascii="Times New Roman" w:hAnsi="Times New Roman" w:eastAsia="宋体" w:cs="Times New Roman"/>
          <w:szCs w:val="21"/>
          <w:vertAlign w:val="subscript"/>
        </w:rPr>
        <w:t>2</w:t>
      </w:r>
      <w:r>
        <w:rPr>
          <w:rFonts w:ascii="Times New Roman" w:hAnsi="Times New Roman" w:eastAsia="宋体" w:cs="Times New Roman"/>
          <w:szCs w:val="21"/>
        </w:rPr>
        <w:t>—电耗，</w:t>
      </w:r>
      <w:r>
        <w:rPr>
          <w:rFonts w:hint="eastAsia" w:ascii="Times New Roman" w:hAnsi="Times New Roman" w:eastAsia="宋体" w:cs="Times New Roman"/>
          <w:szCs w:val="21"/>
        </w:rPr>
        <w:t>kW</w:t>
      </w:r>
      <w:r>
        <w:rPr>
          <w:rFonts w:hint="eastAsia" w:ascii="宋体" w:hAnsi="宋体" w:eastAsia="宋体" w:cs="Times New Roman"/>
          <w:szCs w:val="21"/>
        </w:rPr>
        <w:t>·</w:t>
      </w:r>
      <w:r>
        <w:rPr>
          <w:rFonts w:ascii="Times New Roman" w:hAnsi="Times New Roman" w:eastAsia="宋体" w:cs="Times New Roman"/>
          <w:szCs w:val="21"/>
        </w:rPr>
        <w:t>h/Kg；</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C—企业内部在一定的计量时间内（年），生产设备消耗的电量</w:t>
      </w:r>
      <w:r>
        <w:rPr>
          <w:rFonts w:hint="eastAsia" w:ascii="Times New Roman" w:hAnsi="Times New Roman" w:eastAsia="宋体" w:cs="Times New Roman"/>
          <w:szCs w:val="21"/>
        </w:rPr>
        <w:t>kW</w:t>
      </w:r>
      <w:r>
        <w:rPr>
          <w:rFonts w:hint="eastAsia" w:ascii="宋体" w:hAnsi="宋体" w:eastAsia="宋体" w:cs="Times New Roman"/>
          <w:szCs w:val="21"/>
        </w:rPr>
        <w:t>·</w:t>
      </w:r>
      <w:r>
        <w:rPr>
          <w:rFonts w:ascii="Times New Roman" w:hAnsi="Times New Roman" w:eastAsia="宋体" w:cs="Times New Roman"/>
          <w:szCs w:val="21"/>
        </w:rPr>
        <w:t>h；</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G—养殖总产量，</w:t>
      </w:r>
      <w:r>
        <w:rPr>
          <w:rFonts w:hint="eastAsia" w:ascii="Times New Roman" w:hAnsi="Times New Roman" w:eastAsia="宋体" w:cs="Times New Roman"/>
          <w:szCs w:val="21"/>
        </w:rPr>
        <w:t>k</w:t>
      </w:r>
      <w:r>
        <w:rPr>
          <w:rFonts w:ascii="Times New Roman" w:hAnsi="Times New Roman" w:eastAsia="宋体" w:cs="Times New Roman"/>
          <w:szCs w:val="21"/>
        </w:rPr>
        <w:t>g</w:t>
      </w:r>
    </w:p>
    <w:p>
      <w:pPr>
        <w:spacing w:before="120" w:beforeLines="50" w:after="120" w:afterLines="50"/>
        <w:rPr>
          <w:rFonts w:ascii="Times New Roman" w:hAnsi="Times New Roman" w:eastAsia="黑体" w:cs="Times New Roman"/>
          <w:bCs/>
          <w:kern w:val="44"/>
          <w:szCs w:val="21"/>
        </w:rPr>
      </w:pPr>
      <w:r>
        <w:rPr>
          <w:rFonts w:ascii="Times New Roman" w:hAnsi="Times New Roman" w:eastAsia="黑体" w:cs="Times New Roman"/>
          <w:bCs/>
          <w:kern w:val="44"/>
          <w:szCs w:val="21"/>
        </w:rPr>
        <w:t>6.2 数据来源</w:t>
      </w:r>
    </w:p>
    <w:p>
      <w:pPr>
        <w:spacing w:before="120" w:beforeLines="50" w:after="120" w:afterLines="50"/>
        <w:outlineLvl w:val="2"/>
        <w:rPr>
          <w:rFonts w:ascii="Times New Roman" w:hAnsi="Times New Roman" w:eastAsia="黑体" w:cs="Times New Roman"/>
          <w:bCs/>
          <w:kern w:val="44"/>
          <w:szCs w:val="21"/>
        </w:rPr>
      </w:pPr>
      <w:r>
        <w:rPr>
          <w:rFonts w:ascii="Times New Roman" w:hAnsi="Times New Roman" w:eastAsia="黑体" w:cs="Times New Roman"/>
          <w:bCs/>
          <w:kern w:val="44"/>
          <w:szCs w:val="21"/>
        </w:rPr>
        <w:t>6.2.1 数据计算方法</w:t>
      </w:r>
    </w:p>
    <w:p>
      <w:pPr>
        <w:autoSpaceDE w:val="0"/>
        <w:autoSpaceDN w:val="0"/>
        <w:adjustRightInd w:val="0"/>
        <w:spacing w:line="30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企业的产品产量、废水和固体废物产生量及相关技术经济指标等，以法定月报表或年报表为准。</w:t>
      </w:r>
    </w:p>
    <w:p>
      <w:pPr>
        <w:spacing w:after="120" w:afterLines="50" w:line="360" w:lineRule="auto"/>
        <w:outlineLvl w:val="2"/>
        <w:rPr>
          <w:rFonts w:ascii="Times New Roman" w:hAnsi="Times New Roman" w:eastAsia="黑体" w:cs="Times New Roman"/>
          <w:szCs w:val="21"/>
        </w:rPr>
      </w:pPr>
      <w:r>
        <w:rPr>
          <w:rFonts w:ascii="Times New Roman" w:hAnsi="Times New Roman" w:eastAsia="黑体" w:cs="Times New Roman"/>
          <w:szCs w:val="21"/>
        </w:rPr>
        <w:t>6.2.2 采样和监测</w:t>
      </w:r>
    </w:p>
    <w:p>
      <w:pPr>
        <w:autoSpaceDE w:val="0"/>
        <w:autoSpaceDN w:val="0"/>
        <w:spacing w:line="300" w:lineRule="auto"/>
        <w:ind w:firstLine="420" w:firstLineChars="200"/>
      </w:pPr>
      <w:r>
        <w:rPr>
          <w:rFonts w:hint="eastAsia"/>
        </w:rPr>
        <w:t>本指标污染物产生指标的采样和监测按照相关技术规范执行，并采用国家或行业标准监测分析方法，详见表</w:t>
      </w:r>
      <w:r>
        <w:t>3</w:t>
      </w:r>
      <w:r>
        <w:rPr>
          <w:rFonts w:hint="eastAsia"/>
        </w:rPr>
        <w:t>。</w:t>
      </w:r>
    </w:p>
    <w:p>
      <w:pPr>
        <w:spacing w:after="120" w:afterLines="50" w:line="400" w:lineRule="exact"/>
        <w:jc w:val="center"/>
        <w:rPr>
          <w:rFonts w:eastAsia="黑体"/>
          <w:bCs/>
          <w:szCs w:val="20"/>
        </w:rPr>
      </w:pPr>
      <w:r>
        <w:rPr>
          <w:rFonts w:eastAsia="黑体"/>
          <w:bCs/>
          <w:szCs w:val="20"/>
        </w:rPr>
        <w:t>表3  污染物的测定及参考标准</w:t>
      </w:r>
    </w:p>
    <w:tbl>
      <w:tblPr>
        <w:tblStyle w:val="10"/>
        <w:tblW w:w="871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63"/>
        <w:gridCol w:w="3005"/>
        <w:gridCol w:w="1962"/>
        <w:gridCol w:w="288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85" w:hRule="atLeast"/>
        </w:trPr>
        <w:tc>
          <w:tcPr>
            <w:tcW w:w="3868" w:type="dxa"/>
            <w:gridSpan w:val="2"/>
            <w:vAlign w:val="center"/>
          </w:tcPr>
          <w:p>
            <w:pPr>
              <w:jc w:val="center"/>
              <w:rPr>
                <w:rFonts w:eastAsia="黑体"/>
                <w:color w:val="000000"/>
                <w:sz w:val="18"/>
                <w:szCs w:val="18"/>
              </w:rPr>
            </w:pPr>
            <w:r>
              <w:rPr>
                <w:rFonts w:eastAsia="黑体"/>
                <w:color w:val="000000"/>
                <w:sz w:val="18"/>
                <w:szCs w:val="18"/>
              </w:rPr>
              <w:t>污染物监测项</w:t>
            </w:r>
          </w:p>
        </w:tc>
        <w:tc>
          <w:tcPr>
            <w:tcW w:w="1962" w:type="dxa"/>
            <w:vAlign w:val="center"/>
          </w:tcPr>
          <w:p>
            <w:pPr>
              <w:jc w:val="center"/>
              <w:rPr>
                <w:rFonts w:eastAsia="黑体"/>
                <w:color w:val="000000"/>
                <w:sz w:val="18"/>
                <w:szCs w:val="18"/>
              </w:rPr>
            </w:pPr>
            <w:r>
              <w:rPr>
                <w:rFonts w:eastAsia="黑体"/>
                <w:color w:val="000000"/>
                <w:sz w:val="18"/>
                <w:szCs w:val="18"/>
              </w:rPr>
              <w:t>测定位置</w:t>
            </w:r>
          </w:p>
        </w:tc>
        <w:tc>
          <w:tcPr>
            <w:tcW w:w="2882" w:type="dxa"/>
            <w:vAlign w:val="center"/>
          </w:tcPr>
          <w:p>
            <w:pPr>
              <w:jc w:val="center"/>
              <w:rPr>
                <w:rFonts w:eastAsia="黑体"/>
                <w:color w:val="000000"/>
                <w:sz w:val="18"/>
                <w:szCs w:val="18"/>
              </w:rPr>
            </w:pPr>
            <w:r>
              <w:rPr>
                <w:rFonts w:eastAsia="黑体"/>
                <w:color w:val="000000"/>
                <w:sz w:val="18"/>
                <w:szCs w:val="18"/>
              </w:rPr>
              <w:t>标准号或文件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69" w:hRule="atLeast"/>
        </w:trPr>
        <w:tc>
          <w:tcPr>
            <w:tcW w:w="863" w:type="dxa"/>
            <w:vAlign w:val="center"/>
          </w:tcPr>
          <w:p>
            <w:pPr>
              <w:jc w:val="center"/>
              <w:rPr>
                <w:color w:val="000000"/>
                <w:sz w:val="18"/>
                <w:szCs w:val="18"/>
              </w:rPr>
            </w:pPr>
            <w:r>
              <w:rPr>
                <w:color w:val="000000"/>
                <w:sz w:val="18"/>
                <w:szCs w:val="18"/>
              </w:rPr>
              <w:t>废</w:t>
            </w:r>
            <w:r>
              <w:rPr>
                <w:rFonts w:hint="eastAsia"/>
                <w:color w:val="000000"/>
                <w:sz w:val="18"/>
                <w:szCs w:val="18"/>
              </w:rPr>
              <w:t>水</w:t>
            </w:r>
          </w:p>
        </w:tc>
        <w:tc>
          <w:tcPr>
            <w:tcW w:w="3005" w:type="dxa"/>
            <w:vAlign w:val="center"/>
          </w:tcPr>
          <w:p>
            <w:pPr>
              <w:jc w:val="left"/>
              <w:rPr>
                <w:sz w:val="18"/>
                <w:szCs w:val="18"/>
              </w:rPr>
            </w:pPr>
            <w:r>
              <w:rPr>
                <w:rFonts w:hint="eastAsia"/>
                <w:sz w:val="18"/>
                <w:szCs w:val="18"/>
              </w:rPr>
              <w:t>悬浮物、pH、</w:t>
            </w:r>
            <w:r>
              <w:rPr>
                <w:rFonts w:hint="eastAsia"/>
                <w:sz w:val="18"/>
              </w:rPr>
              <w:t>高锰酸盐指数，</w:t>
            </w:r>
            <w:r>
              <w:rPr>
                <w:rFonts w:hint="eastAsia"/>
                <w:sz w:val="18"/>
                <w:szCs w:val="18"/>
              </w:rPr>
              <w:t>总磷、总氮</w:t>
            </w:r>
          </w:p>
        </w:tc>
        <w:tc>
          <w:tcPr>
            <w:tcW w:w="1962" w:type="dxa"/>
            <w:vAlign w:val="center"/>
          </w:tcPr>
          <w:p>
            <w:pPr>
              <w:pStyle w:val="34"/>
              <w:ind w:firstLine="360"/>
              <w:rPr>
                <w:rFonts w:ascii="Times New Roman"/>
                <w:color w:val="000000"/>
                <w:sz w:val="18"/>
                <w:szCs w:val="18"/>
              </w:rPr>
            </w:pPr>
            <w:r>
              <w:rPr>
                <w:rFonts w:hint="eastAsia" w:ascii="Times New Roman"/>
                <w:color w:val="000000"/>
                <w:sz w:val="18"/>
                <w:szCs w:val="18"/>
              </w:rPr>
              <w:t>所有排水口处</w:t>
            </w:r>
          </w:p>
        </w:tc>
        <w:tc>
          <w:tcPr>
            <w:tcW w:w="2882" w:type="dxa"/>
            <w:vAlign w:val="center"/>
          </w:tcPr>
          <w:p>
            <w:pPr>
              <w:pStyle w:val="34"/>
              <w:jc w:val="center"/>
              <w:rPr>
                <w:rFonts w:ascii="Times New Roman"/>
                <w:sz w:val="18"/>
                <w:szCs w:val="18"/>
              </w:rPr>
            </w:pPr>
            <w:r>
              <w:rPr>
                <w:rFonts w:ascii="Times New Roman"/>
                <w:sz w:val="18"/>
                <w:szCs w:val="18"/>
              </w:rPr>
              <w:t>SC/T 9101</w:t>
            </w:r>
          </w:p>
        </w:tc>
      </w:tr>
    </w:tbl>
    <w:p>
      <w:pPr>
        <w:spacing w:line="300" w:lineRule="auto"/>
        <w:ind w:firstLine="420" w:firstLineChars="200"/>
        <w:rPr>
          <w:rFonts w:ascii="Times New Roman" w:hAnsi="Times New Roman" w:eastAsia="宋体" w:cs="Times New Roman"/>
          <w:kern w:val="0"/>
          <w:szCs w:val="21"/>
        </w:rPr>
      </w:pPr>
    </w:p>
    <w:sectPr>
      <w:pgSz w:w="11906" w:h="16838"/>
      <w:pgMar w:top="1440" w:right="1797" w:bottom="1440" w:left="1797" w:header="851" w:footer="992" w:gutter="0"/>
      <w:pgNumType w:fmt="decimal"/>
      <w:cols w:space="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im Sun">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2</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7025473"/>
      <w:docPartObj>
        <w:docPartGallery w:val="autotext"/>
      </w:docPartObj>
    </w:sdtPr>
    <w:sdtContent>
      <w:p>
        <w:pPr>
          <w:pStyle w:val="6"/>
          <w:jc w:val="center"/>
        </w:pPr>
        <w:r>
          <w:fldChar w:fldCharType="begin"/>
        </w:r>
        <w:r>
          <w:instrText xml:space="preserve">PAGE   \* MERGEFORMAT</w:instrText>
        </w:r>
        <w:r>
          <w:fldChar w:fldCharType="separate"/>
        </w:r>
        <w:r>
          <w:rPr>
            <w:lang w:val="zh-CN"/>
          </w:rPr>
          <w:t>7</w:t>
        </w:r>
        <w:r>
          <w:fldChar w:fldCharType="end"/>
        </w:r>
      </w:p>
    </w:sdtContent>
  </w:sdt>
  <w:p>
    <w:pPr>
      <w:pStyle w:val="6"/>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047025473"/>
                            <w:docPartObj>
                              <w:docPartGallery w:val="autotext"/>
                            </w:docPartObj>
                          </w:sdtPr>
                          <w:sdtContent>
                            <w:p>
                              <w:pPr>
                                <w:pStyle w:val="6"/>
                                <w:jc w:val="center"/>
                              </w:pPr>
                              <w:r>
                                <w:fldChar w:fldCharType="begin"/>
                              </w:r>
                              <w:r>
                                <w:instrText xml:space="preserve">PAGE   \* MERGEFORMAT</w:instrText>
                              </w:r>
                              <w:r>
                                <w:fldChar w:fldCharType="separate"/>
                              </w:r>
                              <w:r>
                                <w:rPr>
                                  <w:lang w:val="zh-CN"/>
                                </w:rPr>
                                <w:t>7</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sdt>
                    <w:sdtPr>
                      <w:id w:val="2047025473"/>
                      <w:docPartObj>
                        <w:docPartGallery w:val="autotext"/>
                      </w:docPartObj>
                    </w:sdtPr>
                    <w:sdtContent>
                      <w:p>
                        <w:pPr>
                          <w:pStyle w:val="6"/>
                          <w:jc w:val="center"/>
                        </w:pPr>
                        <w:r>
                          <w:fldChar w:fldCharType="begin"/>
                        </w:r>
                        <w:r>
                          <w:instrText xml:space="preserve">PAGE   \* MERGEFORMAT</w:instrText>
                        </w:r>
                        <w:r>
                          <w:fldChar w:fldCharType="separate"/>
                        </w:r>
                        <w:r>
                          <w:rPr>
                            <w:lang w:val="zh-CN"/>
                          </w:rPr>
                          <w:t>7</w:t>
                        </w:r>
                        <w:r>
                          <w:fldChar w:fldCharType="end"/>
                        </w:r>
                      </w:p>
                    </w:sdtContent>
                  </w:sdt>
                  <w:p/>
                </w:txbxContent>
              </v:textbox>
            </v:shape>
          </w:pict>
        </mc:Fallback>
      </mc:AlternateContent>
    </w:r>
  </w:p>
  <w:p>
    <w:pPr>
      <w:pStyle w:val="6"/>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47025473"/>
                            <w:docPartObj>
                              <w:docPartGallery w:val="autotext"/>
                            </w:docPartObj>
                          </w:sdtPr>
                          <w:sdtContent>
                            <w:p>
                              <w:pPr>
                                <w:pStyle w:val="6"/>
                                <w:jc w:val="center"/>
                              </w:pPr>
                              <w:r>
                                <w:fldChar w:fldCharType="begin"/>
                              </w:r>
                              <w:r>
                                <w:instrText xml:space="preserve">PAGE   \* MERGEFORMAT</w:instrText>
                              </w:r>
                              <w:r>
                                <w:fldChar w:fldCharType="separate"/>
                              </w:r>
                              <w:r>
                                <w:rPr>
                                  <w:lang w:val="zh-CN"/>
                                </w:rPr>
                                <w:t>7</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sdt>
                    <w:sdtPr>
                      <w:id w:val="2047025473"/>
                      <w:docPartObj>
                        <w:docPartGallery w:val="autotext"/>
                      </w:docPartObj>
                    </w:sdtPr>
                    <w:sdtContent>
                      <w:p>
                        <w:pPr>
                          <w:pStyle w:val="6"/>
                          <w:jc w:val="center"/>
                        </w:pPr>
                        <w:r>
                          <w:fldChar w:fldCharType="begin"/>
                        </w:r>
                        <w:r>
                          <w:instrText xml:space="preserve">PAGE   \* MERGEFORMAT</w:instrText>
                        </w:r>
                        <w:r>
                          <w:fldChar w:fldCharType="separate"/>
                        </w:r>
                        <w:r>
                          <w:rPr>
                            <w:lang w:val="zh-CN"/>
                          </w:rPr>
                          <w:t>7</w:t>
                        </w:r>
                        <w:r>
                          <w:fldChar w:fldCharType="end"/>
                        </w:r>
                      </w:p>
                    </w:sdtContent>
                  </w:sdt>
                  <w:p/>
                </w:txbxContent>
              </v:textbox>
            </v:shape>
          </w:pict>
        </mc:Fallback>
      </mc:AlternateContent>
    </w:r>
  </w:p>
  <w:p>
    <w:pPr>
      <w:pStyle w:val="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numPr>
        <w:ilvl w:val="0"/>
        <w:numId w:val="1"/>
      </w:numPr>
      <w:pBdr>
        <w:bottom w:val="none" w:color="auto" w:sz="0" w:space="0"/>
      </w:pBdr>
      <w:tabs>
        <w:tab w:val="clear" w:pos="4153"/>
        <w:tab w:val="clear" w:pos="8306"/>
      </w:tabs>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lvl w:ilvl="0" w:tentative="0">
      <w:start w:val="1"/>
      <w:numFmt w:val="none"/>
      <w:pStyle w:val="2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9E"/>
    <w:rsid w:val="0000057B"/>
    <w:rsid w:val="00000C8F"/>
    <w:rsid w:val="000015B0"/>
    <w:rsid w:val="00005F95"/>
    <w:rsid w:val="00007F93"/>
    <w:rsid w:val="00010156"/>
    <w:rsid w:val="0001052F"/>
    <w:rsid w:val="00012772"/>
    <w:rsid w:val="0001605D"/>
    <w:rsid w:val="00016926"/>
    <w:rsid w:val="0001693F"/>
    <w:rsid w:val="00017748"/>
    <w:rsid w:val="00023049"/>
    <w:rsid w:val="0002615C"/>
    <w:rsid w:val="00033B57"/>
    <w:rsid w:val="00034F8F"/>
    <w:rsid w:val="0004037F"/>
    <w:rsid w:val="00042728"/>
    <w:rsid w:val="00042DB8"/>
    <w:rsid w:val="00043B30"/>
    <w:rsid w:val="00043E61"/>
    <w:rsid w:val="00045427"/>
    <w:rsid w:val="00046B77"/>
    <w:rsid w:val="00046E32"/>
    <w:rsid w:val="00046F9B"/>
    <w:rsid w:val="000475EE"/>
    <w:rsid w:val="00047F56"/>
    <w:rsid w:val="00051DE2"/>
    <w:rsid w:val="00051F29"/>
    <w:rsid w:val="000524E7"/>
    <w:rsid w:val="00053150"/>
    <w:rsid w:val="00056848"/>
    <w:rsid w:val="00060733"/>
    <w:rsid w:val="00060DD5"/>
    <w:rsid w:val="000636A3"/>
    <w:rsid w:val="00064455"/>
    <w:rsid w:val="00064EFE"/>
    <w:rsid w:val="00065683"/>
    <w:rsid w:val="000659A9"/>
    <w:rsid w:val="00066CAB"/>
    <w:rsid w:val="00067B7E"/>
    <w:rsid w:val="00070801"/>
    <w:rsid w:val="00072406"/>
    <w:rsid w:val="00072998"/>
    <w:rsid w:val="00077973"/>
    <w:rsid w:val="000847A7"/>
    <w:rsid w:val="00087CD1"/>
    <w:rsid w:val="00091FBC"/>
    <w:rsid w:val="0009225A"/>
    <w:rsid w:val="00093883"/>
    <w:rsid w:val="000952EE"/>
    <w:rsid w:val="0009566E"/>
    <w:rsid w:val="00095D88"/>
    <w:rsid w:val="00096701"/>
    <w:rsid w:val="00097543"/>
    <w:rsid w:val="000A0BB5"/>
    <w:rsid w:val="000A108A"/>
    <w:rsid w:val="000A1637"/>
    <w:rsid w:val="000A454B"/>
    <w:rsid w:val="000A4A00"/>
    <w:rsid w:val="000A5290"/>
    <w:rsid w:val="000A71DC"/>
    <w:rsid w:val="000A7847"/>
    <w:rsid w:val="000A78AE"/>
    <w:rsid w:val="000B07F6"/>
    <w:rsid w:val="000B0EEC"/>
    <w:rsid w:val="000B169D"/>
    <w:rsid w:val="000B1B94"/>
    <w:rsid w:val="000B3534"/>
    <w:rsid w:val="000B4FA1"/>
    <w:rsid w:val="000B6163"/>
    <w:rsid w:val="000B7592"/>
    <w:rsid w:val="000C2957"/>
    <w:rsid w:val="000C299D"/>
    <w:rsid w:val="000C70C4"/>
    <w:rsid w:val="000D3A33"/>
    <w:rsid w:val="000D3C17"/>
    <w:rsid w:val="000D5ADE"/>
    <w:rsid w:val="000D71D8"/>
    <w:rsid w:val="000D77EA"/>
    <w:rsid w:val="000D78B2"/>
    <w:rsid w:val="000E1308"/>
    <w:rsid w:val="000E4005"/>
    <w:rsid w:val="000E592F"/>
    <w:rsid w:val="000E660B"/>
    <w:rsid w:val="000E670C"/>
    <w:rsid w:val="000E7A20"/>
    <w:rsid w:val="000E7A35"/>
    <w:rsid w:val="000F0C44"/>
    <w:rsid w:val="000F1C7B"/>
    <w:rsid w:val="000F2857"/>
    <w:rsid w:val="000F6065"/>
    <w:rsid w:val="0010066E"/>
    <w:rsid w:val="00107CD4"/>
    <w:rsid w:val="00110A20"/>
    <w:rsid w:val="00111811"/>
    <w:rsid w:val="001142BC"/>
    <w:rsid w:val="00117C36"/>
    <w:rsid w:val="00120232"/>
    <w:rsid w:val="001218EE"/>
    <w:rsid w:val="001231FE"/>
    <w:rsid w:val="001248AC"/>
    <w:rsid w:val="001268A0"/>
    <w:rsid w:val="0013452D"/>
    <w:rsid w:val="0014060A"/>
    <w:rsid w:val="001424FB"/>
    <w:rsid w:val="00152F4A"/>
    <w:rsid w:val="001533B2"/>
    <w:rsid w:val="00153685"/>
    <w:rsid w:val="001576E1"/>
    <w:rsid w:val="001610F1"/>
    <w:rsid w:val="00163F40"/>
    <w:rsid w:val="001645A6"/>
    <w:rsid w:val="00164BB3"/>
    <w:rsid w:val="00166C64"/>
    <w:rsid w:val="00166D27"/>
    <w:rsid w:val="0017023E"/>
    <w:rsid w:val="00171DE5"/>
    <w:rsid w:val="00174829"/>
    <w:rsid w:val="00174C9F"/>
    <w:rsid w:val="00177C38"/>
    <w:rsid w:val="00177C53"/>
    <w:rsid w:val="00180265"/>
    <w:rsid w:val="00183084"/>
    <w:rsid w:val="00183267"/>
    <w:rsid w:val="00186F94"/>
    <w:rsid w:val="00190E4E"/>
    <w:rsid w:val="0019279D"/>
    <w:rsid w:val="00196517"/>
    <w:rsid w:val="001A06DB"/>
    <w:rsid w:val="001A0B0A"/>
    <w:rsid w:val="001A12CB"/>
    <w:rsid w:val="001A15A2"/>
    <w:rsid w:val="001A3D96"/>
    <w:rsid w:val="001A4768"/>
    <w:rsid w:val="001A7327"/>
    <w:rsid w:val="001A7AF1"/>
    <w:rsid w:val="001B1182"/>
    <w:rsid w:val="001B20C1"/>
    <w:rsid w:val="001B3027"/>
    <w:rsid w:val="001B37A3"/>
    <w:rsid w:val="001B53A5"/>
    <w:rsid w:val="001B65F7"/>
    <w:rsid w:val="001B73A0"/>
    <w:rsid w:val="001C2177"/>
    <w:rsid w:val="001C2B0A"/>
    <w:rsid w:val="001C3A40"/>
    <w:rsid w:val="001C4E69"/>
    <w:rsid w:val="001C6842"/>
    <w:rsid w:val="001C7144"/>
    <w:rsid w:val="001C7C7A"/>
    <w:rsid w:val="001C7E4D"/>
    <w:rsid w:val="001D1C27"/>
    <w:rsid w:val="001D3996"/>
    <w:rsid w:val="001D543E"/>
    <w:rsid w:val="001E01FB"/>
    <w:rsid w:val="001E2C87"/>
    <w:rsid w:val="001E36F2"/>
    <w:rsid w:val="001E3A51"/>
    <w:rsid w:val="001E70C1"/>
    <w:rsid w:val="001F021B"/>
    <w:rsid w:val="001F0649"/>
    <w:rsid w:val="001F2111"/>
    <w:rsid w:val="001F42E4"/>
    <w:rsid w:val="001F6BC4"/>
    <w:rsid w:val="001F74E3"/>
    <w:rsid w:val="001F781C"/>
    <w:rsid w:val="001F7E43"/>
    <w:rsid w:val="002000C7"/>
    <w:rsid w:val="00200B2C"/>
    <w:rsid w:val="00202C45"/>
    <w:rsid w:val="00206901"/>
    <w:rsid w:val="00207040"/>
    <w:rsid w:val="00210AA2"/>
    <w:rsid w:val="00211F95"/>
    <w:rsid w:val="0021312E"/>
    <w:rsid w:val="00214D3D"/>
    <w:rsid w:val="0021526B"/>
    <w:rsid w:val="002161BB"/>
    <w:rsid w:val="00220B1D"/>
    <w:rsid w:val="00221AF2"/>
    <w:rsid w:val="00221E4E"/>
    <w:rsid w:val="0022307C"/>
    <w:rsid w:val="0022377F"/>
    <w:rsid w:val="002265E7"/>
    <w:rsid w:val="00226E77"/>
    <w:rsid w:val="00227508"/>
    <w:rsid w:val="00231CD2"/>
    <w:rsid w:val="002323B1"/>
    <w:rsid w:val="002327BF"/>
    <w:rsid w:val="002328B0"/>
    <w:rsid w:val="002333FE"/>
    <w:rsid w:val="00234FC0"/>
    <w:rsid w:val="00237526"/>
    <w:rsid w:val="00241AD1"/>
    <w:rsid w:val="0024316B"/>
    <w:rsid w:val="00246112"/>
    <w:rsid w:val="002471E7"/>
    <w:rsid w:val="0024724F"/>
    <w:rsid w:val="0025062A"/>
    <w:rsid w:val="00250B70"/>
    <w:rsid w:val="002528B7"/>
    <w:rsid w:val="002530C9"/>
    <w:rsid w:val="00254997"/>
    <w:rsid w:val="00255106"/>
    <w:rsid w:val="00256CDB"/>
    <w:rsid w:val="002603A7"/>
    <w:rsid w:val="00264074"/>
    <w:rsid w:val="00264928"/>
    <w:rsid w:val="002659F8"/>
    <w:rsid w:val="00266714"/>
    <w:rsid w:val="00266AF4"/>
    <w:rsid w:val="002679E2"/>
    <w:rsid w:val="00267DC0"/>
    <w:rsid w:val="002704E8"/>
    <w:rsid w:val="002715F3"/>
    <w:rsid w:val="0027648B"/>
    <w:rsid w:val="002773B8"/>
    <w:rsid w:val="00282C13"/>
    <w:rsid w:val="00283EA5"/>
    <w:rsid w:val="002851F3"/>
    <w:rsid w:val="00286A86"/>
    <w:rsid w:val="00286CF7"/>
    <w:rsid w:val="00286F32"/>
    <w:rsid w:val="002879DE"/>
    <w:rsid w:val="00292EEA"/>
    <w:rsid w:val="0029301C"/>
    <w:rsid w:val="0029547F"/>
    <w:rsid w:val="0029693A"/>
    <w:rsid w:val="002A167C"/>
    <w:rsid w:val="002A1B70"/>
    <w:rsid w:val="002A6014"/>
    <w:rsid w:val="002A620C"/>
    <w:rsid w:val="002A6C91"/>
    <w:rsid w:val="002A6F7D"/>
    <w:rsid w:val="002A7B0B"/>
    <w:rsid w:val="002B038F"/>
    <w:rsid w:val="002B2A74"/>
    <w:rsid w:val="002B3A47"/>
    <w:rsid w:val="002B6A9B"/>
    <w:rsid w:val="002B6EDA"/>
    <w:rsid w:val="002B7D0B"/>
    <w:rsid w:val="002C2732"/>
    <w:rsid w:val="002C3A07"/>
    <w:rsid w:val="002C52F6"/>
    <w:rsid w:val="002C55CD"/>
    <w:rsid w:val="002C5D74"/>
    <w:rsid w:val="002C6E91"/>
    <w:rsid w:val="002C7919"/>
    <w:rsid w:val="002D0B2F"/>
    <w:rsid w:val="002D1A50"/>
    <w:rsid w:val="002D2A29"/>
    <w:rsid w:val="002D3508"/>
    <w:rsid w:val="002D4AD1"/>
    <w:rsid w:val="002D7B3A"/>
    <w:rsid w:val="002E0867"/>
    <w:rsid w:val="002E0CC9"/>
    <w:rsid w:val="002E1BA7"/>
    <w:rsid w:val="002E2C79"/>
    <w:rsid w:val="002E378D"/>
    <w:rsid w:val="002E38C4"/>
    <w:rsid w:val="002E3D62"/>
    <w:rsid w:val="002E4828"/>
    <w:rsid w:val="002E4FD6"/>
    <w:rsid w:val="002E6B30"/>
    <w:rsid w:val="002E74F2"/>
    <w:rsid w:val="002F2EA7"/>
    <w:rsid w:val="003022A6"/>
    <w:rsid w:val="00303F97"/>
    <w:rsid w:val="00304960"/>
    <w:rsid w:val="0030754A"/>
    <w:rsid w:val="00311FD2"/>
    <w:rsid w:val="00313F80"/>
    <w:rsid w:val="003159B6"/>
    <w:rsid w:val="0031608A"/>
    <w:rsid w:val="0031683F"/>
    <w:rsid w:val="00317CB1"/>
    <w:rsid w:val="00320F61"/>
    <w:rsid w:val="00322E19"/>
    <w:rsid w:val="0032781B"/>
    <w:rsid w:val="00327FDA"/>
    <w:rsid w:val="00331F58"/>
    <w:rsid w:val="00331FEB"/>
    <w:rsid w:val="0033226D"/>
    <w:rsid w:val="00335498"/>
    <w:rsid w:val="003360A1"/>
    <w:rsid w:val="00336AE8"/>
    <w:rsid w:val="00336EFD"/>
    <w:rsid w:val="00337C11"/>
    <w:rsid w:val="0034113A"/>
    <w:rsid w:val="003413C0"/>
    <w:rsid w:val="00341878"/>
    <w:rsid w:val="00341D3A"/>
    <w:rsid w:val="0034360B"/>
    <w:rsid w:val="00343CA2"/>
    <w:rsid w:val="0034594F"/>
    <w:rsid w:val="00345E58"/>
    <w:rsid w:val="0034677D"/>
    <w:rsid w:val="003540C8"/>
    <w:rsid w:val="00355CE9"/>
    <w:rsid w:val="00356467"/>
    <w:rsid w:val="003570DC"/>
    <w:rsid w:val="003604D5"/>
    <w:rsid w:val="00361881"/>
    <w:rsid w:val="00362B23"/>
    <w:rsid w:val="00363587"/>
    <w:rsid w:val="003637B1"/>
    <w:rsid w:val="00363CC3"/>
    <w:rsid w:val="00364F19"/>
    <w:rsid w:val="00365832"/>
    <w:rsid w:val="00367049"/>
    <w:rsid w:val="003704B7"/>
    <w:rsid w:val="0037125A"/>
    <w:rsid w:val="00372FAA"/>
    <w:rsid w:val="00374FAD"/>
    <w:rsid w:val="0037582E"/>
    <w:rsid w:val="00375D4C"/>
    <w:rsid w:val="00394F7D"/>
    <w:rsid w:val="00394FD0"/>
    <w:rsid w:val="00397F13"/>
    <w:rsid w:val="003A068A"/>
    <w:rsid w:val="003A39C0"/>
    <w:rsid w:val="003A403B"/>
    <w:rsid w:val="003A558A"/>
    <w:rsid w:val="003A55CE"/>
    <w:rsid w:val="003A7AA1"/>
    <w:rsid w:val="003B2A81"/>
    <w:rsid w:val="003B36C0"/>
    <w:rsid w:val="003B440C"/>
    <w:rsid w:val="003B4D8B"/>
    <w:rsid w:val="003B66EC"/>
    <w:rsid w:val="003B7D86"/>
    <w:rsid w:val="003C117B"/>
    <w:rsid w:val="003C1E04"/>
    <w:rsid w:val="003C4F9C"/>
    <w:rsid w:val="003C66DF"/>
    <w:rsid w:val="003C7236"/>
    <w:rsid w:val="003C7BB3"/>
    <w:rsid w:val="003D0D34"/>
    <w:rsid w:val="003D26FA"/>
    <w:rsid w:val="003D4EA3"/>
    <w:rsid w:val="003D5C56"/>
    <w:rsid w:val="003D5C83"/>
    <w:rsid w:val="003D69BC"/>
    <w:rsid w:val="003E09A3"/>
    <w:rsid w:val="003E0E5D"/>
    <w:rsid w:val="003E1342"/>
    <w:rsid w:val="003E281D"/>
    <w:rsid w:val="003E3D36"/>
    <w:rsid w:val="003E7CF1"/>
    <w:rsid w:val="003F0978"/>
    <w:rsid w:val="003F3B99"/>
    <w:rsid w:val="003F4160"/>
    <w:rsid w:val="003F4C25"/>
    <w:rsid w:val="003F5DBE"/>
    <w:rsid w:val="00400F90"/>
    <w:rsid w:val="00404649"/>
    <w:rsid w:val="0040657F"/>
    <w:rsid w:val="0041037F"/>
    <w:rsid w:val="00410C10"/>
    <w:rsid w:val="00411000"/>
    <w:rsid w:val="004118BC"/>
    <w:rsid w:val="00411E72"/>
    <w:rsid w:val="00416CBD"/>
    <w:rsid w:val="00422A74"/>
    <w:rsid w:val="00425DFA"/>
    <w:rsid w:val="0042722C"/>
    <w:rsid w:val="0043121E"/>
    <w:rsid w:val="00433EE6"/>
    <w:rsid w:val="00434508"/>
    <w:rsid w:val="004346F4"/>
    <w:rsid w:val="00436A26"/>
    <w:rsid w:val="004376C3"/>
    <w:rsid w:val="00441878"/>
    <w:rsid w:val="0044282B"/>
    <w:rsid w:val="00442AB5"/>
    <w:rsid w:val="00443691"/>
    <w:rsid w:val="004542D4"/>
    <w:rsid w:val="0045667A"/>
    <w:rsid w:val="0046055A"/>
    <w:rsid w:val="00461127"/>
    <w:rsid w:val="00461A5F"/>
    <w:rsid w:val="00461BF2"/>
    <w:rsid w:val="00462277"/>
    <w:rsid w:val="004631C1"/>
    <w:rsid w:val="00463948"/>
    <w:rsid w:val="0046408A"/>
    <w:rsid w:val="00466E55"/>
    <w:rsid w:val="00470F22"/>
    <w:rsid w:val="0047278E"/>
    <w:rsid w:val="00477F41"/>
    <w:rsid w:val="004824C8"/>
    <w:rsid w:val="00482C02"/>
    <w:rsid w:val="00484E44"/>
    <w:rsid w:val="00485E73"/>
    <w:rsid w:val="00487A52"/>
    <w:rsid w:val="00487DD4"/>
    <w:rsid w:val="00490C03"/>
    <w:rsid w:val="0049237B"/>
    <w:rsid w:val="004923C1"/>
    <w:rsid w:val="00495583"/>
    <w:rsid w:val="004959E4"/>
    <w:rsid w:val="00495E50"/>
    <w:rsid w:val="00496BDD"/>
    <w:rsid w:val="004A0621"/>
    <w:rsid w:val="004A07D8"/>
    <w:rsid w:val="004A39BE"/>
    <w:rsid w:val="004A4AED"/>
    <w:rsid w:val="004A4E09"/>
    <w:rsid w:val="004A4E8C"/>
    <w:rsid w:val="004A5A9C"/>
    <w:rsid w:val="004A5B21"/>
    <w:rsid w:val="004A5CB7"/>
    <w:rsid w:val="004B097C"/>
    <w:rsid w:val="004B3B6D"/>
    <w:rsid w:val="004B4B99"/>
    <w:rsid w:val="004B69FE"/>
    <w:rsid w:val="004B74D1"/>
    <w:rsid w:val="004B74FF"/>
    <w:rsid w:val="004B7589"/>
    <w:rsid w:val="004C04D4"/>
    <w:rsid w:val="004C27E8"/>
    <w:rsid w:val="004C4710"/>
    <w:rsid w:val="004D0FFD"/>
    <w:rsid w:val="004D1AA6"/>
    <w:rsid w:val="004D677E"/>
    <w:rsid w:val="004D76A4"/>
    <w:rsid w:val="004E07FB"/>
    <w:rsid w:val="004E2176"/>
    <w:rsid w:val="004E2477"/>
    <w:rsid w:val="004E3ABD"/>
    <w:rsid w:val="004E6ADE"/>
    <w:rsid w:val="004E6C5D"/>
    <w:rsid w:val="004E6D9A"/>
    <w:rsid w:val="004E7FF0"/>
    <w:rsid w:val="004F2D30"/>
    <w:rsid w:val="004F31A3"/>
    <w:rsid w:val="004F3A98"/>
    <w:rsid w:val="004F54CE"/>
    <w:rsid w:val="00501879"/>
    <w:rsid w:val="00501D95"/>
    <w:rsid w:val="00504506"/>
    <w:rsid w:val="00504FF0"/>
    <w:rsid w:val="00505817"/>
    <w:rsid w:val="00506D7F"/>
    <w:rsid w:val="00510894"/>
    <w:rsid w:val="0051294F"/>
    <w:rsid w:val="00516938"/>
    <w:rsid w:val="00517ACB"/>
    <w:rsid w:val="00522255"/>
    <w:rsid w:val="00522425"/>
    <w:rsid w:val="00522452"/>
    <w:rsid w:val="00522506"/>
    <w:rsid w:val="005240C1"/>
    <w:rsid w:val="00524CB2"/>
    <w:rsid w:val="00524CDF"/>
    <w:rsid w:val="00527431"/>
    <w:rsid w:val="00530FC4"/>
    <w:rsid w:val="00532CEC"/>
    <w:rsid w:val="005337BD"/>
    <w:rsid w:val="00533C0B"/>
    <w:rsid w:val="00533E4D"/>
    <w:rsid w:val="00534671"/>
    <w:rsid w:val="00534EE8"/>
    <w:rsid w:val="0054022C"/>
    <w:rsid w:val="00540A01"/>
    <w:rsid w:val="00540B72"/>
    <w:rsid w:val="0054206C"/>
    <w:rsid w:val="005427B5"/>
    <w:rsid w:val="00543949"/>
    <w:rsid w:val="005445B0"/>
    <w:rsid w:val="00544E05"/>
    <w:rsid w:val="00545352"/>
    <w:rsid w:val="00545A58"/>
    <w:rsid w:val="00546AAF"/>
    <w:rsid w:val="00546DBE"/>
    <w:rsid w:val="005478C8"/>
    <w:rsid w:val="00550619"/>
    <w:rsid w:val="00550881"/>
    <w:rsid w:val="0055123A"/>
    <w:rsid w:val="00552A5A"/>
    <w:rsid w:val="00553648"/>
    <w:rsid w:val="0055442D"/>
    <w:rsid w:val="00554EFF"/>
    <w:rsid w:val="005574A7"/>
    <w:rsid w:val="00557A89"/>
    <w:rsid w:val="005677AA"/>
    <w:rsid w:val="005746A2"/>
    <w:rsid w:val="005761CC"/>
    <w:rsid w:val="005764AF"/>
    <w:rsid w:val="00580901"/>
    <w:rsid w:val="00583E41"/>
    <w:rsid w:val="00585F6B"/>
    <w:rsid w:val="00591A36"/>
    <w:rsid w:val="00592143"/>
    <w:rsid w:val="005929B8"/>
    <w:rsid w:val="005964A3"/>
    <w:rsid w:val="005A544E"/>
    <w:rsid w:val="005A76F5"/>
    <w:rsid w:val="005B2047"/>
    <w:rsid w:val="005B2B92"/>
    <w:rsid w:val="005B2CDE"/>
    <w:rsid w:val="005B4577"/>
    <w:rsid w:val="005B7084"/>
    <w:rsid w:val="005B73F9"/>
    <w:rsid w:val="005C0A01"/>
    <w:rsid w:val="005C1300"/>
    <w:rsid w:val="005C1BE3"/>
    <w:rsid w:val="005C2CAF"/>
    <w:rsid w:val="005C2E1D"/>
    <w:rsid w:val="005C3D97"/>
    <w:rsid w:val="005C6B1E"/>
    <w:rsid w:val="005C7CC1"/>
    <w:rsid w:val="005C7E62"/>
    <w:rsid w:val="005D2E38"/>
    <w:rsid w:val="005D46BB"/>
    <w:rsid w:val="005D6D6C"/>
    <w:rsid w:val="005D7358"/>
    <w:rsid w:val="005D7CE7"/>
    <w:rsid w:val="005E13EF"/>
    <w:rsid w:val="005E2D43"/>
    <w:rsid w:val="005E33E2"/>
    <w:rsid w:val="005F013C"/>
    <w:rsid w:val="005F2986"/>
    <w:rsid w:val="005F4236"/>
    <w:rsid w:val="005F44E3"/>
    <w:rsid w:val="005F7545"/>
    <w:rsid w:val="005F774F"/>
    <w:rsid w:val="00600C90"/>
    <w:rsid w:val="00600D7F"/>
    <w:rsid w:val="00600DBA"/>
    <w:rsid w:val="0060187E"/>
    <w:rsid w:val="00601F36"/>
    <w:rsid w:val="00603006"/>
    <w:rsid w:val="00604916"/>
    <w:rsid w:val="006055C7"/>
    <w:rsid w:val="00607B67"/>
    <w:rsid w:val="00607F12"/>
    <w:rsid w:val="0061096B"/>
    <w:rsid w:val="00612BAE"/>
    <w:rsid w:val="00613AD6"/>
    <w:rsid w:val="00615121"/>
    <w:rsid w:val="006160FC"/>
    <w:rsid w:val="00620AB6"/>
    <w:rsid w:val="00621D91"/>
    <w:rsid w:val="00622F6F"/>
    <w:rsid w:val="00623377"/>
    <w:rsid w:val="00624366"/>
    <w:rsid w:val="006255AF"/>
    <w:rsid w:val="006260E7"/>
    <w:rsid w:val="00631DB8"/>
    <w:rsid w:val="00632218"/>
    <w:rsid w:val="00632E1C"/>
    <w:rsid w:val="00633C2F"/>
    <w:rsid w:val="00643187"/>
    <w:rsid w:val="00644780"/>
    <w:rsid w:val="00644CA5"/>
    <w:rsid w:val="0064584A"/>
    <w:rsid w:val="00647018"/>
    <w:rsid w:val="006470DF"/>
    <w:rsid w:val="00647529"/>
    <w:rsid w:val="00647BEE"/>
    <w:rsid w:val="0065211B"/>
    <w:rsid w:val="00652DD4"/>
    <w:rsid w:val="00663446"/>
    <w:rsid w:val="00664CB0"/>
    <w:rsid w:val="00665349"/>
    <w:rsid w:val="00666C00"/>
    <w:rsid w:val="0066793F"/>
    <w:rsid w:val="00670DE2"/>
    <w:rsid w:val="00671BDE"/>
    <w:rsid w:val="00671EA4"/>
    <w:rsid w:val="006744A5"/>
    <w:rsid w:val="006745FA"/>
    <w:rsid w:val="00676D5B"/>
    <w:rsid w:val="00677268"/>
    <w:rsid w:val="00677A32"/>
    <w:rsid w:val="00680D28"/>
    <w:rsid w:val="00683877"/>
    <w:rsid w:val="00686B5A"/>
    <w:rsid w:val="0069291C"/>
    <w:rsid w:val="0069308E"/>
    <w:rsid w:val="00696886"/>
    <w:rsid w:val="00697A5B"/>
    <w:rsid w:val="00697E1A"/>
    <w:rsid w:val="006A0944"/>
    <w:rsid w:val="006A0AAE"/>
    <w:rsid w:val="006A15CF"/>
    <w:rsid w:val="006A3312"/>
    <w:rsid w:val="006A35DF"/>
    <w:rsid w:val="006A4DB1"/>
    <w:rsid w:val="006A74ED"/>
    <w:rsid w:val="006A7D75"/>
    <w:rsid w:val="006B3E66"/>
    <w:rsid w:val="006B422D"/>
    <w:rsid w:val="006B71BF"/>
    <w:rsid w:val="006B7BA2"/>
    <w:rsid w:val="006C1405"/>
    <w:rsid w:val="006C1DEC"/>
    <w:rsid w:val="006C4088"/>
    <w:rsid w:val="006C42A4"/>
    <w:rsid w:val="006C6EDB"/>
    <w:rsid w:val="006D10D7"/>
    <w:rsid w:val="006D3BE9"/>
    <w:rsid w:val="006D40C8"/>
    <w:rsid w:val="006D4C42"/>
    <w:rsid w:val="006D6E91"/>
    <w:rsid w:val="006E02BB"/>
    <w:rsid w:val="006E2301"/>
    <w:rsid w:val="006E3395"/>
    <w:rsid w:val="006E437D"/>
    <w:rsid w:val="006E4875"/>
    <w:rsid w:val="006E6D71"/>
    <w:rsid w:val="006E7F18"/>
    <w:rsid w:val="006F07BC"/>
    <w:rsid w:val="006F0D01"/>
    <w:rsid w:val="006F1202"/>
    <w:rsid w:val="006F2A47"/>
    <w:rsid w:val="006F4331"/>
    <w:rsid w:val="006F49A5"/>
    <w:rsid w:val="006F4BC3"/>
    <w:rsid w:val="00701326"/>
    <w:rsid w:val="007051A8"/>
    <w:rsid w:val="00705956"/>
    <w:rsid w:val="00710D9E"/>
    <w:rsid w:val="00716B4E"/>
    <w:rsid w:val="00720444"/>
    <w:rsid w:val="007221C2"/>
    <w:rsid w:val="007238D6"/>
    <w:rsid w:val="007301AC"/>
    <w:rsid w:val="007303C2"/>
    <w:rsid w:val="00731782"/>
    <w:rsid w:val="0073320E"/>
    <w:rsid w:val="00734A32"/>
    <w:rsid w:val="00735A4D"/>
    <w:rsid w:val="007374CA"/>
    <w:rsid w:val="00741385"/>
    <w:rsid w:val="00743A45"/>
    <w:rsid w:val="00744F80"/>
    <w:rsid w:val="00746E1C"/>
    <w:rsid w:val="00752F88"/>
    <w:rsid w:val="00756DA9"/>
    <w:rsid w:val="00760117"/>
    <w:rsid w:val="00765E8C"/>
    <w:rsid w:val="007675CF"/>
    <w:rsid w:val="0077002D"/>
    <w:rsid w:val="0077616F"/>
    <w:rsid w:val="00776F48"/>
    <w:rsid w:val="007778A3"/>
    <w:rsid w:val="0078021A"/>
    <w:rsid w:val="00780547"/>
    <w:rsid w:val="00782554"/>
    <w:rsid w:val="007844B8"/>
    <w:rsid w:val="00784CDB"/>
    <w:rsid w:val="00785032"/>
    <w:rsid w:val="00785658"/>
    <w:rsid w:val="0079077C"/>
    <w:rsid w:val="00793DE1"/>
    <w:rsid w:val="00794A48"/>
    <w:rsid w:val="007952B3"/>
    <w:rsid w:val="00795491"/>
    <w:rsid w:val="00795D71"/>
    <w:rsid w:val="0079753F"/>
    <w:rsid w:val="007975B1"/>
    <w:rsid w:val="007A03BF"/>
    <w:rsid w:val="007A2085"/>
    <w:rsid w:val="007A3337"/>
    <w:rsid w:val="007A4F0A"/>
    <w:rsid w:val="007A5728"/>
    <w:rsid w:val="007A5AB1"/>
    <w:rsid w:val="007A5CE6"/>
    <w:rsid w:val="007A75E4"/>
    <w:rsid w:val="007A7777"/>
    <w:rsid w:val="007B148F"/>
    <w:rsid w:val="007B24C3"/>
    <w:rsid w:val="007B3239"/>
    <w:rsid w:val="007B357C"/>
    <w:rsid w:val="007B695E"/>
    <w:rsid w:val="007B78AD"/>
    <w:rsid w:val="007B7F89"/>
    <w:rsid w:val="007C01F8"/>
    <w:rsid w:val="007C1E0D"/>
    <w:rsid w:val="007C3CB2"/>
    <w:rsid w:val="007C3ECF"/>
    <w:rsid w:val="007C3F38"/>
    <w:rsid w:val="007C4ED3"/>
    <w:rsid w:val="007C643D"/>
    <w:rsid w:val="007C7D54"/>
    <w:rsid w:val="007D0CA9"/>
    <w:rsid w:val="007D38FC"/>
    <w:rsid w:val="007D6369"/>
    <w:rsid w:val="007D7C47"/>
    <w:rsid w:val="007E1EAC"/>
    <w:rsid w:val="007E316A"/>
    <w:rsid w:val="007E3EF7"/>
    <w:rsid w:val="007E7F5F"/>
    <w:rsid w:val="007F0B69"/>
    <w:rsid w:val="007F20EF"/>
    <w:rsid w:val="007F41CD"/>
    <w:rsid w:val="007F4F64"/>
    <w:rsid w:val="007F5648"/>
    <w:rsid w:val="007F61D0"/>
    <w:rsid w:val="00807BA3"/>
    <w:rsid w:val="00810365"/>
    <w:rsid w:val="00811474"/>
    <w:rsid w:val="00811EE9"/>
    <w:rsid w:val="00813168"/>
    <w:rsid w:val="00817496"/>
    <w:rsid w:val="008179B5"/>
    <w:rsid w:val="0082187C"/>
    <w:rsid w:val="008219A0"/>
    <w:rsid w:val="00821D98"/>
    <w:rsid w:val="00824E62"/>
    <w:rsid w:val="00826B1D"/>
    <w:rsid w:val="0083525D"/>
    <w:rsid w:val="0083720A"/>
    <w:rsid w:val="0084052A"/>
    <w:rsid w:val="008413E7"/>
    <w:rsid w:val="00843096"/>
    <w:rsid w:val="008445A6"/>
    <w:rsid w:val="00845C5D"/>
    <w:rsid w:val="00847246"/>
    <w:rsid w:val="00851E56"/>
    <w:rsid w:val="00852874"/>
    <w:rsid w:val="00852A55"/>
    <w:rsid w:val="00853287"/>
    <w:rsid w:val="008536CF"/>
    <w:rsid w:val="00855B4E"/>
    <w:rsid w:val="00860D82"/>
    <w:rsid w:val="00863911"/>
    <w:rsid w:val="0086402B"/>
    <w:rsid w:val="00865E3E"/>
    <w:rsid w:val="00867D04"/>
    <w:rsid w:val="008713BA"/>
    <w:rsid w:val="008739FA"/>
    <w:rsid w:val="00874E1E"/>
    <w:rsid w:val="008764C7"/>
    <w:rsid w:val="008771A3"/>
    <w:rsid w:val="00881685"/>
    <w:rsid w:val="008824BE"/>
    <w:rsid w:val="0088363D"/>
    <w:rsid w:val="00883EFA"/>
    <w:rsid w:val="008840E7"/>
    <w:rsid w:val="008846A7"/>
    <w:rsid w:val="00886221"/>
    <w:rsid w:val="00886743"/>
    <w:rsid w:val="00886C85"/>
    <w:rsid w:val="00886CD0"/>
    <w:rsid w:val="00890FC5"/>
    <w:rsid w:val="0089156D"/>
    <w:rsid w:val="008936FA"/>
    <w:rsid w:val="00897799"/>
    <w:rsid w:val="008A2BAA"/>
    <w:rsid w:val="008A2CCE"/>
    <w:rsid w:val="008A39FE"/>
    <w:rsid w:val="008A5B58"/>
    <w:rsid w:val="008A5BB4"/>
    <w:rsid w:val="008B0B41"/>
    <w:rsid w:val="008B0F04"/>
    <w:rsid w:val="008B12D2"/>
    <w:rsid w:val="008B3D4D"/>
    <w:rsid w:val="008B6668"/>
    <w:rsid w:val="008B799C"/>
    <w:rsid w:val="008C4774"/>
    <w:rsid w:val="008C4D23"/>
    <w:rsid w:val="008C5D86"/>
    <w:rsid w:val="008C7910"/>
    <w:rsid w:val="008D02AD"/>
    <w:rsid w:val="008D0EF1"/>
    <w:rsid w:val="008D2E96"/>
    <w:rsid w:val="008D52E6"/>
    <w:rsid w:val="008D7DDE"/>
    <w:rsid w:val="008E096F"/>
    <w:rsid w:val="008E0D3F"/>
    <w:rsid w:val="008E23BC"/>
    <w:rsid w:val="008E60C0"/>
    <w:rsid w:val="008E7CEA"/>
    <w:rsid w:val="008F0906"/>
    <w:rsid w:val="008F09CE"/>
    <w:rsid w:val="008F104C"/>
    <w:rsid w:val="008F21CA"/>
    <w:rsid w:val="008F5130"/>
    <w:rsid w:val="008F5239"/>
    <w:rsid w:val="008F73A7"/>
    <w:rsid w:val="008F7FD1"/>
    <w:rsid w:val="00904F64"/>
    <w:rsid w:val="0090694D"/>
    <w:rsid w:val="00907220"/>
    <w:rsid w:val="00912029"/>
    <w:rsid w:val="009123A1"/>
    <w:rsid w:val="009127E4"/>
    <w:rsid w:val="00912C0D"/>
    <w:rsid w:val="00915E4B"/>
    <w:rsid w:val="0091731B"/>
    <w:rsid w:val="00917C38"/>
    <w:rsid w:val="009201D6"/>
    <w:rsid w:val="00921684"/>
    <w:rsid w:val="00922144"/>
    <w:rsid w:val="009231F9"/>
    <w:rsid w:val="00927FF6"/>
    <w:rsid w:val="009310C6"/>
    <w:rsid w:val="00931492"/>
    <w:rsid w:val="009323B3"/>
    <w:rsid w:val="0093456A"/>
    <w:rsid w:val="00941BCD"/>
    <w:rsid w:val="00942E9F"/>
    <w:rsid w:val="009430FB"/>
    <w:rsid w:val="009519A1"/>
    <w:rsid w:val="00952818"/>
    <w:rsid w:val="0095352D"/>
    <w:rsid w:val="009542C6"/>
    <w:rsid w:val="00955C63"/>
    <w:rsid w:val="00955E26"/>
    <w:rsid w:val="0095768C"/>
    <w:rsid w:val="00957D6C"/>
    <w:rsid w:val="00957DF8"/>
    <w:rsid w:val="0096365B"/>
    <w:rsid w:val="00967290"/>
    <w:rsid w:val="00967C6E"/>
    <w:rsid w:val="00971141"/>
    <w:rsid w:val="00972CA0"/>
    <w:rsid w:val="00973054"/>
    <w:rsid w:val="00974B18"/>
    <w:rsid w:val="00976BC8"/>
    <w:rsid w:val="00977B8B"/>
    <w:rsid w:val="009804B6"/>
    <w:rsid w:val="00981790"/>
    <w:rsid w:val="00982DD5"/>
    <w:rsid w:val="00986ED8"/>
    <w:rsid w:val="009873D7"/>
    <w:rsid w:val="0098790F"/>
    <w:rsid w:val="009879E0"/>
    <w:rsid w:val="00990120"/>
    <w:rsid w:val="00990216"/>
    <w:rsid w:val="00990D6A"/>
    <w:rsid w:val="00991A6D"/>
    <w:rsid w:val="0099275D"/>
    <w:rsid w:val="009A04EC"/>
    <w:rsid w:val="009A73EC"/>
    <w:rsid w:val="009B3D0D"/>
    <w:rsid w:val="009B3FA5"/>
    <w:rsid w:val="009B453E"/>
    <w:rsid w:val="009B47A6"/>
    <w:rsid w:val="009B5528"/>
    <w:rsid w:val="009B679C"/>
    <w:rsid w:val="009C2563"/>
    <w:rsid w:val="009C72B5"/>
    <w:rsid w:val="009C77C8"/>
    <w:rsid w:val="009D1DCA"/>
    <w:rsid w:val="009D4C8C"/>
    <w:rsid w:val="009D6F52"/>
    <w:rsid w:val="009D782E"/>
    <w:rsid w:val="009E13DC"/>
    <w:rsid w:val="009E15CD"/>
    <w:rsid w:val="009E2F39"/>
    <w:rsid w:val="009E34D3"/>
    <w:rsid w:val="009E686F"/>
    <w:rsid w:val="009F1D05"/>
    <w:rsid w:val="009F2AD7"/>
    <w:rsid w:val="009F60F2"/>
    <w:rsid w:val="009F7750"/>
    <w:rsid w:val="009F7AAD"/>
    <w:rsid w:val="00A02EDD"/>
    <w:rsid w:val="00A03D38"/>
    <w:rsid w:val="00A0483C"/>
    <w:rsid w:val="00A1111C"/>
    <w:rsid w:val="00A11855"/>
    <w:rsid w:val="00A153C4"/>
    <w:rsid w:val="00A155E3"/>
    <w:rsid w:val="00A15BB8"/>
    <w:rsid w:val="00A1656D"/>
    <w:rsid w:val="00A20E9C"/>
    <w:rsid w:val="00A235FA"/>
    <w:rsid w:val="00A243D3"/>
    <w:rsid w:val="00A24FB7"/>
    <w:rsid w:val="00A26EED"/>
    <w:rsid w:val="00A27C13"/>
    <w:rsid w:val="00A27D47"/>
    <w:rsid w:val="00A309B9"/>
    <w:rsid w:val="00A32B79"/>
    <w:rsid w:val="00A4195D"/>
    <w:rsid w:val="00A4378C"/>
    <w:rsid w:val="00A44688"/>
    <w:rsid w:val="00A44789"/>
    <w:rsid w:val="00A44948"/>
    <w:rsid w:val="00A449DA"/>
    <w:rsid w:val="00A46612"/>
    <w:rsid w:val="00A50F28"/>
    <w:rsid w:val="00A51DC8"/>
    <w:rsid w:val="00A530A8"/>
    <w:rsid w:val="00A62282"/>
    <w:rsid w:val="00A62A3B"/>
    <w:rsid w:val="00A62F88"/>
    <w:rsid w:val="00A6355A"/>
    <w:rsid w:val="00A65546"/>
    <w:rsid w:val="00A655DE"/>
    <w:rsid w:val="00A6699B"/>
    <w:rsid w:val="00A67D00"/>
    <w:rsid w:val="00A71F92"/>
    <w:rsid w:val="00A7327F"/>
    <w:rsid w:val="00A734FD"/>
    <w:rsid w:val="00A73F20"/>
    <w:rsid w:val="00A74232"/>
    <w:rsid w:val="00A76A5C"/>
    <w:rsid w:val="00A76B65"/>
    <w:rsid w:val="00A80744"/>
    <w:rsid w:val="00A84D58"/>
    <w:rsid w:val="00A85EA3"/>
    <w:rsid w:val="00A86DFE"/>
    <w:rsid w:val="00A914B7"/>
    <w:rsid w:val="00A955E6"/>
    <w:rsid w:val="00A9580E"/>
    <w:rsid w:val="00A9644E"/>
    <w:rsid w:val="00AA0AE6"/>
    <w:rsid w:val="00AA23B4"/>
    <w:rsid w:val="00AA302D"/>
    <w:rsid w:val="00AA4216"/>
    <w:rsid w:val="00AA6993"/>
    <w:rsid w:val="00AA77CC"/>
    <w:rsid w:val="00AB2B99"/>
    <w:rsid w:val="00AB3B59"/>
    <w:rsid w:val="00AB4028"/>
    <w:rsid w:val="00AB483B"/>
    <w:rsid w:val="00AB7900"/>
    <w:rsid w:val="00AC13D3"/>
    <w:rsid w:val="00AC1536"/>
    <w:rsid w:val="00AC2788"/>
    <w:rsid w:val="00AC3178"/>
    <w:rsid w:val="00AC5287"/>
    <w:rsid w:val="00AC52F8"/>
    <w:rsid w:val="00AC57D2"/>
    <w:rsid w:val="00AC587C"/>
    <w:rsid w:val="00AC5A2D"/>
    <w:rsid w:val="00AC6039"/>
    <w:rsid w:val="00AD1218"/>
    <w:rsid w:val="00AD2876"/>
    <w:rsid w:val="00AD4EE8"/>
    <w:rsid w:val="00AD53C7"/>
    <w:rsid w:val="00AD5925"/>
    <w:rsid w:val="00AE079E"/>
    <w:rsid w:val="00AE19F6"/>
    <w:rsid w:val="00AE219B"/>
    <w:rsid w:val="00AE3B17"/>
    <w:rsid w:val="00AE47F3"/>
    <w:rsid w:val="00AE60C5"/>
    <w:rsid w:val="00AE7F02"/>
    <w:rsid w:val="00AF3C0E"/>
    <w:rsid w:val="00AF5CC3"/>
    <w:rsid w:val="00AF6F20"/>
    <w:rsid w:val="00B00A46"/>
    <w:rsid w:val="00B075A1"/>
    <w:rsid w:val="00B07739"/>
    <w:rsid w:val="00B10A2F"/>
    <w:rsid w:val="00B10F1C"/>
    <w:rsid w:val="00B11A44"/>
    <w:rsid w:val="00B14903"/>
    <w:rsid w:val="00B1572C"/>
    <w:rsid w:val="00B15A9A"/>
    <w:rsid w:val="00B16829"/>
    <w:rsid w:val="00B235DA"/>
    <w:rsid w:val="00B269F1"/>
    <w:rsid w:val="00B32D03"/>
    <w:rsid w:val="00B34486"/>
    <w:rsid w:val="00B36EEE"/>
    <w:rsid w:val="00B40044"/>
    <w:rsid w:val="00B43C6C"/>
    <w:rsid w:val="00B45547"/>
    <w:rsid w:val="00B463B4"/>
    <w:rsid w:val="00B46D74"/>
    <w:rsid w:val="00B47E91"/>
    <w:rsid w:val="00B50B4B"/>
    <w:rsid w:val="00B50E25"/>
    <w:rsid w:val="00B52CCF"/>
    <w:rsid w:val="00B533A6"/>
    <w:rsid w:val="00B54655"/>
    <w:rsid w:val="00B5557A"/>
    <w:rsid w:val="00B55DBE"/>
    <w:rsid w:val="00B575BB"/>
    <w:rsid w:val="00B6139F"/>
    <w:rsid w:val="00B62814"/>
    <w:rsid w:val="00B62A18"/>
    <w:rsid w:val="00B632F7"/>
    <w:rsid w:val="00B64621"/>
    <w:rsid w:val="00B65820"/>
    <w:rsid w:val="00B6785E"/>
    <w:rsid w:val="00B67D32"/>
    <w:rsid w:val="00B703AE"/>
    <w:rsid w:val="00B7259A"/>
    <w:rsid w:val="00B75A5F"/>
    <w:rsid w:val="00B80A03"/>
    <w:rsid w:val="00B83003"/>
    <w:rsid w:val="00B84B7B"/>
    <w:rsid w:val="00B85B26"/>
    <w:rsid w:val="00B85FB4"/>
    <w:rsid w:val="00B86771"/>
    <w:rsid w:val="00B87344"/>
    <w:rsid w:val="00B94045"/>
    <w:rsid w:val="00B9747B"/>
    <w:rsid w:val="00B977BF"/>
    <w:rsid w:val="00BA22C6"/>
    <w:rsid w:val="00BA238B"/>
    <w:rsid w:val="00BA23A3"/>
    <w:rsid w:val="00BA300B"/>
    <w:rsid w:val="00BA30ED"/>
    <w:rsid w:val="00BA31FC"/>
    <w:rsid w:val="00BA3B40"/>
    <w:rsid w:val="00BA5508"/>
    <w:rsid w:val="00BA7541"/>
    <w:rsid w:val="00BB2F12"/>
    <w:rsid w:val="00BB3D53"/>
    <w:rsid w:val="00BB3FC6"/>
    <w:rsid w:val="00BB5F14"/>
    <w:rsid w:val="00BB7691"/>
    <w:rsid w:val="00BC5011"/>
    <w:rsid w:val="00BC5302"/>
    <w:rsid w:val="00BC719C"/>
    <w:rsid w:val="00BC7CE0"/>
    <w:rsid w:val="00BD1615"/>
    <w:rsid w:val="00BD5784"/>
    <w:rsid w:val="00BE09D9"/>
    <w:rsid w:val="00BE112F"/>
    <w:rsid w:val="00BE1752"/>
    <w:rsid w:val="00BE27A4"/>
    <w:rsid w:val="00BE629A"/>
    <w:rsid w:val="00BE6379"/>
    <w:rsid w:val="00BE6BF7"/>
    <w:rsid w:val="00BE6D3F"/>
    <w:rsid w:val="00BE7C47"/>
    <w:rsid w:val="00BE7D67"/>
    <w:rsid w:val="00BF1126"/>
    <w:rsid w:val="00BF6A63"/>
    <w:rsid w:val="00BF7D59"/>
    <w:rsid w:val="00C00DE1"/>
    <w:rsid w:val="00C0135F"/>
    <w:rsid w:val="00C01837"/>
    <w:rsid w:val="00C0291D"/>
    <w:rsid w:val="00C03D19"/>
    <w:rsid w:val="00C07AFD"/>
    <w:rsid w:val="00C11D8B"/>
    <w:rsid w:val="00C12DD0"/>
    <w:rsid w:val="00C13B30"/>
    <w:rsid w:val="00C15648"/>
    <w:rsid w:val="00C16845"/>
    <w:rsid w:val="00C2005C"/>
    <w:rsid w:val="00C22F32"/>
    <w:rsid w:val="00C2426D"/>
    <w:rsid w:val="00C2570D"/>
    <w:rsid w:val="00C27FA0"/>
    <w:rsid w:val="00C30F10"/>
    <w:rsid w:val="00C3238E"/>
    <w:rsid w:val="00C323C3"/>
    <w:rsid w:val="00C352F4"/>
    <w:rsid w:val="00C37413"/>
    <w:rsid w:val="00C44CC9"/>
    <w:rsid w:val="00C44DCA"/>
    <w:rsid w:val="00C44F62"/>
    <w:rsid w:val="00C458E4"/>
    <w:rsid w:val="00C46E28"/>
    <w:rsid w:val="00C47578"/>
    <w:rsid w:val="00C4790E"/>
    <w:rsid w:val="00C533CD"/>
    <w:rsid w:val="00C55217"/>
    <w:rsid w:val="00C57C2C"/>
    <w:rsid w:val="00C602DA"/>
    <w:rsid w:val="00C61EE7"/>
    <w:rsid w:val="00C663D4"/>
    <w:rsid w:val="00C6779B"/>
    <w:rsid w:val="00C67954"/>
    <w:rsid w:val="00C7141C"/>
    <w:rsid w:val="00C71DB8"/>
    <w:rsid w:val="00C724E0"/>
    <w:rsid w:val="00C73619"/>
    <w:rsid w:val="00C7579E"/>
    <w:rsid w:val="00C75FB8"/>
    <w:rsid w:val="00C84FAA"/>
    <w:rsid w:val="00C86988"/>
    <w:rsid w:val="00C86BDE"/>
    <w:rsid w:val="00C92390"/>
    <w:rsid w:val="00C94309"/>
    <w:rsid w:val="00C943F8"/>
    <w:rsid w:val="00CA050C"/>
    <w:rsid w:val="00CA06F8"/>
    <w:rsid w:val="00CA1062"/>
    <w:rsid w:val="00CA2A67"/>
    <w:rsid w:val="00CA5162"/>
    <w:rsid w:val="00CA611D"/>
    <w:rsid w:val="00CA63E8"/>
    <w:rsid w:val="00CB01A8"/>
    <w:rsid w:val="00CB36FB"/>
    <w:rsid w:val="00CB400B"/>
    <w:rsid w:val="00CB701D"/>
    <w:rsid w:val="00CC1E69"/>
    <w:rsid w:val="00CC375A"/>
    <w:rsid w:val="00CC3998"/>
    <w:rsid w:val="00CC44FA"/>
    <w:rsid w:val="00CC51DC"/>
    <w:rsid w:val="00CC778B"/>
    <w:rsid w:val="00CC7C85"/>
    <w:rsid w:val="00CD0BF9"/>
    <w:rsid w:val="00CD1A68"/>
    <w:rsid w:val="00CD41B1"/>
    <w:rsid w:val="00CD4E0D"/>
    <w:rsid w:val="00CD5BC4"/>
    <w:rsid w:val="00CD63B1"/>
    <w:rsid w:val="00CD7FE8"/>
    <w:rsid w:val="00CE0755"/>
    <w:rsid w:val="00CE0D0A"/>
    <w:rsid w:val="00CE7664"/>
    <w:rsid w:val="00CF2252"/>
    <w:rsid w:val="00CF30F8"/>
    <w:rsid w:val="00CF41AE"/>
    <w:rsid w:val="00CF79AF"/>
    <w:rsid w:val="00D024ED"/>
    <w:rsid w:val="00D03703"/>
    <w:rsid w:val="00D03882"/>
    <w:rsid w:val="00D06C2B"/>
    <w:rsid w:val="00D07857"/>
    <w:rsid w:val="00D10C59"/>
    <w:rsid w:val="00D1394D"/>
    <w:rsid w:val="00D15621"/>
    <w:rsid w:val="00D227B3"/>
    <w:rsid w:val="00D26448"/>
    <w:rsid w:val="00D3099D"/>
    <w:rsid w:val="00D31E91"/>
    <w:rsid w:val="00D33105"/>
    <w:rsid w:val="00D337D4"/>
    <w:rsid w:val="00D33D2C"/>
    <w:rsid w:val="00D3430F"/>
    <w:rsid w:val="00D354B9"/>
    <w:rsid w:val="00D36B53"/>
    <w:rsid w:val="00D3762C"/>
    <w:rsid w:val="00D4187F"/>
    <w:rsid w:val="00D43BD5"/>
    <w:rsid w:val="00D4417D"/>
    <w:rsid w:val="00D45F18"/>
    <w:rsid w:val="00D46973"/>
    <w:rsid w:val="00D47B93"/>
    <w:rsid w:val="00D54909"/>
    <w:rsid w:val="00D54918"/>
    <w:rsid w:val="00D562D8"/>
    <w:rsid w:val="00D5665F"/>
    <w:rsid w:val="00D63DB0"/>
    <w:rsid w:val="00D65C67"/>
    <w:rsid w:val="00D70AA5"/>
    <w:rsid w:val="00D71EDD"/>
    <w:rsid w:val="00D73611"/>
    <w:rsid w:val="00D737E1"/>
    <w:rsid w:val="00D7419B"/>
    <w:rsid w:val="00D75835"/>
    <w:rsid w:val="00D8015C"/>
    <w:rsid w:val="00D80D7B"/>
    <w:rsid w:val="00D82F8A"/>
    <w:rsid w:val="00D84A9B"/>
    <w:rsid w:val="00D86B09"/>
    <w:rsid w:val="00D921A2"/>
    <w:rsid w:val="00D925E2"/>
    <w:rsid w:val="00D926B3"/>
    <w:rsid w:val="00D95899"/>
    <w:rsid w:val="00D95916"/>
    <w:rsid w:val="00D96487"/>
    <w:rsid w:val="00D9733B"/>
    <w:rsid w:val="00DA21AD"/>
    <w:rsid w:val="00DA3E5D"/>
    <w:rsid w:val="00DA5CAD"/>
    <w:rsid w:val="00DA66AE"/>
    <w:rsid w:val="00DB3541"/>
    <w:rsid w:val="00DB40E3"/>
    <w:rsid w:val="00DB4A35"/>
    <w:rsid w:val="00DB55CC"/>
    <w:rsid w:val="00DB74B6"/>
    <w:rsid w:val="00DC2CAA"/>
    <w:rsid w:val="00DC535E"/>
    <w:rsid w:val="00DC6230"/>
    <w:rsid w:val="00DC775F"/>
    <w:rsid w:val="00DD0F0A"/>
    <w:rsid w:val="00DD1D79"/>
    <w:rsid w:val="00DD2B27"/>
    <w:rsid w:val="00DD3D90"/>
    <w:rsid w:val="00DD7537"/>
    <w:rsid w:val="00DE062E"/>
    <w:rsid w:val="00DE066D"/>
    <w:rsid w:val="00DE12D5"/>
    <w:rsid w:val="00DE30C1"/>
    <w:rsid w:val="00DE3109"/>
    <w:rsid w:val="00DE3C5A"/>
    <w:rsid w:val="00DE65F2"/>
    <w:rsid w:val="00DE6CA9"/>
    <w:rsid w:val="00DF0976"/>
    <w:rsid w:val="00DF2943"/>
    <w:rsid w:val="00DF2B7D"/>
    <w:rsid w:val="00DF3DBE"/>
    <w:rsid w:val="00DF4111"/>
    <w:rsid w:val="00DF4EFF"/>
    <w:rsid w:val="00DF53D3"/>
    <w:rsid w:val="00DF5FBE"/>
    <w:rsid w:val="00DF6721"/>
    <w:rsid w:val="00DF706D"/>
    <w:rsid w:val="00DF747E"/>
    <w:rsid w:val="00DF7F2F"/>
    <w:rsid w:val="00E0257A"/>
    <w:rsid w:val="00E02641"/>
    <w:rsid w:val="00E02B6F"/>
    <w:rsid w:val="00E0433E"/>
    <w:rsid w:val="00E04ED7"/>
    <w:rsid w:val="00E0662D"/>
    <w:rsid w:val="00E11E19"/>
    <w:rsid w:val="00E14A3C"/>
    <w:rsid w:val="00E14AF9"/>
    <w:rsid w:val="00E16AB4"/>
    <w:rsid w:val="00E17945"/>
    <w:rsid w:val="00E20EFF"/>
    <w:rsid w:val="00E211EA"/>
    <w:rsid w:val="00E21ECD"/>
    <w:rsid w:val="00E227E9"/>
    <w:rsid w:val="00E238BA"/>
    <w:rsid w:val="00E243EE"/>
    <w:rsid w:val="00E255B2"/>
    <w:rsid w:val="00E26417"/>
    <w:rsid w:val="00E267DC"/>
    <w:rsid w:val="00E27807"/>
    <w:rsid w:val="00E323B8"/>
    <w:rsid w:val="00E32F91"/>
    <w:rsid w:val="00E33818"/>
    <w:rsid w:val="00E34C5C"/>
    <w:rsid w:val="00E3520E"/>
    <w:rsid w:val="00E372BD"/>
    <w:rsid w:val="00E42B33"/>
    <w:rsid w:val="00E430C0"/>
    <w:rsid w:val="00E47141"/>
    <w:rsid w:val="00E52653"/>
    <w:rsid w:val="00E55BC9"/>
    <w:rsid w:val="00E56A2E"/>
    <w:rsid w:val="00E57260"/>
    <w:rsid w:val="00E60013"/>
    <w:rsid w:val="00E6048E"/>
    <w:rsid w:val="00E64E31"/>
    <w:rsid w:val="00E704B9"/>
    <w:rsid w:val="00E70C47"/>
    <w:rsid w:val="00E71825"/>
    <w:rsid w:val="00E732FE"/>
    <w:rsid w:val="00E73A3D"/>
    <w:rsid w:val="00E7414B"/>
    <w:rsid w:val="00E77413"/>
    <w:rsid w:val="00E80B95"/>
    <w:rsid w:val="00E83462"/>
    <w:rsid w:val="00E838E9"/>
    <w:rsid w:val="00E8537D"/>
    <w:rsid w:val="00E86805"/>
    <w:rsid w:val="00E8716B"/>
    <w:rsid w:val="00E93A0F"/>
    <w:rsid w:val="00E94BBD"/>
    <w:rsid w:val="00E977B3"/>
    <w:rsid w:val="00E97D5D"/>
    <w:rsid w:val="00E97E56"/>
    <w:rsid w:val="00EA17AD"/>
    <w:rsid w:val="00EA2EE3"/>
    <w:rsid w:val="00EB101E"/>
    <w:rsid w:val="00EC12F4"/>
    <w:rsid w:val="00EC2EB4"/>
    <w:rsid w:val="00EC36F1"/>
    <w:rsid w:val="00EC3B81"/>
    <w:rsid w:val="00EC6857"/>
    <w:rsid w:val="00EC6B93"/>
    <w:rsid w:val="00ED0D12"/>
    <w:rsid w:val="00ED1181"/>
    <w:rsid w:val="00ED4481"/>
    <w:rsid w:val="00ED65A9"/>
    <w:rsid w:val="00EE5484"/>
    <w:rsid w:val="00EE7C36"/>
    <w:rsid w:val="00EF078C"/>
    <w:rsid w:val="00EF1FCE"/>
    <w:rsid w:val="00EF2CB9"/>
    <w:rsid w:val="00EF2F13"/>
    <w:rsid w:val="00EF40E7"/>
    <w:rsid w:val="00EF4CFF"/>
    <w:rsid w:val="00EF7275"/>
    <w:rsid w:val="00F0020C"/>
    <w:rsid w:val="00F002D0"/>
    <w:rsid w:val="00F005CF"/>
    <w:rsid w:val="00F01949"/>
    <w:rsid w:val="00F02315"/>
    <w:rsid w:val="00F0315C"/>
    <w:rsid w:val="00F035D3"/>
    <w:rsid w:val="00F055CE"/>
    <w:rsid w:val="00F05789"/>
    <w:rsid w:val="00F06C8B"/>
    <w:rsid w:val="00F076C6"/>
    <w:rsid w:val="00F109AE"/>
    <w:rsid w:val="00F126B3"/>
    <w:rsid w:val="00F12BFB"/>
    <w:rsid w:val="00F12CE3"/>
    <w:rsid w:val="00F14603"/>
    <w:rsid w:val="00F1539A"/>
    <w:rsid w:val="00F165C6"/>
    <w:rsid w:val="00F17425"/>
    <w:rsid w:val="00F210D2"/>
    <w:rsid w:val="00F21327"/>
    <w:rsid w:val="00F22A27"/>
    <w:rsid w:val="00F23936"/>
    <w:rsid w:val="00F25165"/>
    <w:rsid w:val="00F30A1F"/>
    <w:rsid w:val="00F32369"/>
    <w:rsid w:val="00F346E1"/>
    <w:rsid w:val="00F35235"/>
    <w:rsid w:val="00F43294"/>
    <w:rsid w:val="00F44851"/>
    <w:rsid w:val="00F44B34"/>
    <w:rsid w:val="00F44C3E"/>
    <w:rsid w:val="00F44C78"/>
    <w:rsid w:val="00F4565F"/>
    <w:rsid w:val="00F46CF4"/>
    <w:rsid w:val="00F46D22"/>
    <w:rsid w:val="00F4746D"/>
    <w:rsid w:val="00F52A28"/>
    <w:rsid w:val="00F541B0"/>
    <w:rsid w:val="00F5753E"/>
    <w:rsid w:val="00F6195A"/>
    <w:rsid w:val="00F62ABF"/>
    <w:rsid w:val="00F63911"/>
    <w:rsid w:val="00F63F58"/>
    <w:rsid w:val="00F65097"/>
    <w:rsid w:val="00F65406"/>
    <w:rsid w:val="00F7047E"/>
    <w:rsid w:val="00F71FA2"/>
    <w:rsid w:val="00F744FB"/>
    <w:rsid w:val="00F760E8"/>
    <w:rsid w:val="00F81DF3"/>
    <w:rsid w:val="00F81E5B"/>
    <w:rsid w:val="00F8345E"/>
    <w:rsid w:val="00F847AF"/>
    <w:rsid w:val="00F860EA"/>
    <w:rsid w:val="00F87864"/>
    <w:rsid w:val="00F878D0"/>
    <w:rsid w:val="00F87B60"/>
    <w:rsid w:val="00F9023F"/>
    <w:rsid w:val="00F90C89"/>
    <w:rsid w:val="00F92ADE"/>
    <w:rsid w:val="00F9579D"/>
    <w:rsid w:val="00F9740B"/>
    <w:rsid w:val="00F974EA"/>
    <w:rsid w:val="00F97D7B"/>
    <w:rsid w:val="00FA01DA"/>
    <w:rsid w:val="00FA0206"/>
    <w:rsid w:val="00FA091A"/>
    <w:rsid w:val="00FA1DDA"/>
    <w:rsid w:val="00FA55BE"/>
    <w:rsid w:val="00FB0739"/>
    <w:rsid w:val="00FB10CE"/>
    <w:rsid w:val="00FB17C1"/>
    <w:rsid w:val="00FB2040"/>
    <w:rsid w:val="00FB2D6F"/>
    <w:rsid w:val="00FB30EC"/>
    <w:rsid w:val="00FB5DEA"/>
    <w:rsid w:val="00FB5FA9"/>
    <w:rsid w:val="00FB6108"/>
    <w:rsid w:val="00FC0842"/>
    <w:rsid w:val="00FC30FF"/>
    <w:rsid w:val="00FD27F9"/>
    <w:rsid w:val="00FD2CC1"/>
    <w:rsid w:val="00FD406F"/>
    <w:rsid w:val="00FD5435"/>
    <w:rsid w:val="00FD64EC"/>
    <w:rsid w:val="00FE0035"/>
    <w:rsid w:val="00FE0BA1"/>
    <w:rsid w:val="00FE35C0"/>
    <w:rsid w:val="00FE519F"/>
    <w:rsid w:val="00FE791A"/>
    <w:rsid w:val="00FF12E5"/>
    <w:rsid w:val="00FF18B7"/>
    <w:rsid w:val="00FF4D68"/>
    <w:rsid w:val="00FF57B5"/>
    <w:rsid w:val="00FF66E2"/>
    <w:rsid w:val="00FF759B"/>
    <w:rsid w:val="0F6213E4"/>
    <w:rsid w:val="237268E5"/>
    <w:rsid w:val="331050E0"/>
    <w:rsid w:val="3AB00F15"/>
    <w:rsid w:val="3D123926"/>
    <w:rsid w:val="642E5114"/>
    <w:rsid w:val="776C0CBC"/>
    <w:rsid w:val="7ADE75D5"/>
    <w:rsid w:val="7B964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0"/>
    <w:pPr>
      <w:keepNext/>
      <w:keepLines/>
      <w:spacing w:before="120" w:after="120"/>
      <w:outlineLvl w:val="0"/>
    </w:pPr>
    <w:rPr>
      <w:rFonts w:ascii="Calibri" w:hAnsi="Calibri" w:eastAsia="宋体" w:cs="Times New Roman"/>
      <w:b/>
      <w:bCs/>
      <w:kern w:val="44"/>
      <w:sz w:val="36"/>
      <w:szCs w:val="44"/>
    </w:rPr>
  </w:style>
  <w:style w:type="character" w:default="1" w:styleId="12">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4"/>
    <w:semiHidden/>
    <w:unhideWhenUsed/>
    <w:uiPriority w:val="99"/>
    <w:pPr>
      <w:jc w:val="left"/>
    </w:pPr>
  </w:style>
  <w:style w:type="paragraph" w:styleId="4">
    <w:name w:val="Plain Text"/>
    <w:basedOn w:val="1"/>
    <w:link w:val="29"/>
    <w:qFormat/>
    <w:uiPriority w:val="0"/>
    <w:rPr>
      <w:rFonts w:ascii="宋体" w:hAnsi="Courier New" w:eastAsia="宋体" w:cs="Courier New"/>
      <w:szCs w:val="21"/>
    </w:rPr>
  </w:style>
  <w:style w:type="paragraph" w:styleId="5">
    <w:name w:val="Balloon Text"/>
    <w:basedOn w:val="1"/>
    <w:link w:val="19"/>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302"/>
      </w:tabs>
      <w:spacing w:before="120"/>
      <w:jc w:val="left"/>
    </w:pPr>
    <w:rPr>
      <w:rFonts w:ascii="Calibri" w:hAnsi="Calibri" w:eastAsia="宋体" w:cs="Times New Roman"/>
      <w:szCs w:val="20"/>
    </w:rPr>
  </w:style>
  <w:style w:type="paragraph" w:styleId="9">
    <w:name w:val="annotation subject"/>
    <w:basedOn w:val="3"/>
    <w:next w:val="3"/>
    <w:link w:val="25"/>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页眉 Char1"/>
    <w:basedOn w:val="12"/>
    <w:link w:val="7"/>
    <w:qFormat/>
    <w:uiPriority w:val="99"/>
    <w:rPr>
      <w:sz w:val="18"/>
      <w:szCs w:val="18"/>
    </w:rPr>
  </w:style>
  <w:style w:type="character" w:customStyle="1" w:styleId="17">
    <w:name w:val="页脚 Char1"/>
    <w:basedOn w:val="12"/>
    <w:link w:val="6"/>
    <w:qFormat/>
    <w:uiPriority w:val="99"/>
    <w:rPr>
      <w:sz w:val="18"/>
      <w:szCs w:val="18"/>
    </w:rPr>
  </w:style>
  <w:style w:type="character" w:styleId="18">
    <w:name w:val="Placeholder Text"/>
    <w:basedOn w:val="12"/>
    <w:semiHidden/>
    <w:qFormat/>
    <w:uiPriority w:val="99"/>
    <w:rPr>
      <w:color w:val="808080"/>
    </w:rPr>
  </w:style>
  <w:style w:type="character" w:customStyle="1" w:styleId="19">
    <w:name w:val="批注框文本 Char"/>
    <w:basedOn w:val="12"/>
    <w:link w:val="5"/>
    <w:semiHidden/>
    <w:qFormat/>
    <w:uiPriority w:val="99"/>
    <w:rPr>
      <w:sz w:val="18"/>
      <w:szCs w:val="18"/>
    </w:rPr>
  </w:style>
  <w:style w:type="table" w:customStyle="1" w:styleId="20">
    <w:name w:val="网格型1"/>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2">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23">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character" w:customStyle="1" w:styleId="24">
    <w:name w:val="批注文字 Char"/>
    <w:basedOn w:val="12"/>
    <w:link w:val="3"/>
    <w:semiHidden/>
    <w:qFormat/>
    <w:uiPriority w:val="99"/>
    <w:rPr>
      <w:rFonts w:asciiTheme="minorHAnsi" w:hAnsiTheme="minorHAnsi" w:eastAsiaTheme="minorEastAsia" w:cstheme="minorBidi"/>
      <w:kern w:val="2"/>
      <w:sz w:val="21"/>
      <w:szCs w:val="22"/>
    </w:rPr>
  </w:style>
  <w:style w:type="character" w:customStyle="1" w:styleId="25">
    <w:name w:val="批注主题 Char"/>
    <w:basedOn w:val="24"/>
    <w:link w:val="9"/>
    <w:semiHidden/>
    <w:qFormat/>
    <w:uiPriority w:val="99"/>
    <w:rPr>
      <w:rFonts w:asciiTheme="minorHAnsi" w:hAnsiTheme="minorHAnsi" w:eastAsiaTheme="minorEastAsia" w:cstheme="minorBidi"/>
      <w:b/>
      <w:bCs/>
      <w:kern w:val="2"/>
      <w:sz w:val="21"/>
      <w:szCs w:val="22"/>
    </w:rPr>
  </w:style>
  <w:style w:type="paragraph" w:customStyle="1" w:styleId="26">
    <w:name w:val="目次、标准名称标题"/>
    <w:basedOn w:val="1"/>
    <w:next w:val="21"/>
    <w:qFormat/>
    <w:uiPriority w:val="0"/>
    <w:pPr>
      <w:widowControl/>
      <w:shd w:val="clear" w:color="FFFFFF" w:fill="FFFFFF"/>
      <w:spacing w:before="640" w:after="560" w:line="460" w:lineRule="exact"/>
      <w:jc w:val="center"/>
      <w:outlineLvl w:val="0"/>
    </w:pPr>
    <w:rPr>
      <w:rFonts w:ascii="黑体" w:hAnsi="Calibri" w:eastAsia="黑体" w:cs="Times New Roman"/>
      <w:kern w:val="0"/>
      <w:sz w:val="32"/>
      <w:szCs w:val="20"/>
    </w:rPr>
  </w:style>
  <w:style w:type="character" w:customStyle="1" w:styleId="27">
    <w:name w:val="页眉 Char"/>
    <w:qFormat/>
    <w:uiPriority w:val="0"/>
    <w:rPr>
      <w:kern w:val="2"/>
      <w:sz w:val="18"/>
    </w:rPr>
  </w:style>
  <w:style w:type="character" w:customStyle="1" w:styleId="28">
    <w:name w:val="页脚 Char"/>
    <w:qFormat/>
    <w:uiPriority w:val="0"/>
    <w:rPr>
      <w:kern w:val="2"/>
      <w:sz w:val="18"/>
    </w:rPr>
  </w:style>
  <w:style w:type="character" w:customStyle="1" w:styleId="29">
    <w:name w:val="纯文本 Char"/>
    <w:basedOn w:val="12"/>
    <w:link w:val="4"/>
    <w:qFormat/>
    <w:uiPriority w:val="0"/>
    <w:rPr>
      <w:rFonts w:ascii="宋体" w:hAnsi="Courier New" w:cs="Courier New"/>
      <w:kern w:val="2"/>
      <w:sz w:val="21"/>
      <w:szCs w:val="21"/>
    </w:rPr>
  </w:style>
  <w:style w:type="character" w:customStyle="1" w:styleId="30">
    <w:name w:val="标题 1 字符"/>
    <w:basedOn w:val="12"/>
    <w:qFormat/>
    <w:uiPriority w:val="9"/>
    <w:rPr>
      <w:rFonts w:asciiTheme="minorHAnsi" w:hAnsiTheme="minorHAnsi" w:eastAsiaTheme="minorEastAsia" w:cstheme="minorBidi"/>
      <w:b/>
      <w:bCs/>
      <w:kern w:val="44"/>
      <w:sz w:val="44"/>
      <w:szCs w:val="44"/>
    </w:rPr>
  </w:style>
  <w:style w:type="character" w:customStyle="1" w:styleId="31">
    <w:name w:val="标题 1 Char"/>
    <w:link w:val="2"/>
    <w:qFormat/>
    <w:uiPriority w:val="0"/>
    <w:rPr>
      <w:rFonts w:ascii="Calibri" w:hAnsi="Calibri"/>
      <w:b/>
      <w:bCs/>
      <w:kern w:val="44"/>
      <w:sz w:val="36"/>
      <w:szCs w:val="44"/>
    </w:rPr>
  </w:style>
  <w:style w:type="paragraph" w:customStyle="1" w:styleId="32">
    <w:name w:val="样式 小四 行距: 1.5 倍行距"/>
    <w:basedOn w:val="1"/>
    <w:qFormat/>
    <w:uiPriority w:val="0"/>
    <w:pPr>
      <w:spacing w:line="360" w:lineRule="auto"/>
      <w:ind w:firstLine="480" w:firstLineChars="200"/>
    </w:pPr>
    <w:rPr>
      <w:rFonts w:ascii="Calibri" w:hAnsi="Calibri" w:eastAsia="宋体" w:cs="宋体"/>
      <w:sz w:val="24"/>
      <w:szCs w:val="20"/>
    </w:rPr>
  </w:style>
  <w:style w:type="paragraph" w:customStyle="1" w:styleId="33">
    <w:name w:val="Default"/>
    <w:qFormat/>
    <w:uiPriority w:val="0"/>
    <w:pPr>
      <w:widowControl w:val="0"/>
      <w:autoSpaceDE w:val="0"/>
      <w:autoSpaceDN w:val="0"/>
      <w:adjustRightInd w:val="0"/>
    </w:pPr>
    <w:rPr>
      <w:rFonts w:ascii="Sim Sun" w:hAnsi="Calibri" w:eastAsia="Sim Sun" w:cs="Sim Sun"/>
      <w:color w:val="000000"/>
      <w:sz w:val="24"/>
      <w:szCs w:val="24"/>
      <w:lang w:val="en-US" w:eastAsia="zh-CN" w:bidi="ar-SA"/>
    </w:rPr>
  </w:style>
  <w:style w:type="paragraph" w:customStyle="1" w:styleId="34">
    <w:name w:val="表文字"/>
    <w:basedOn w:val="33"/>
    <w:next w:val="33"/>
    <w:qFormat/>
    <w:uiPriority w:val="99"/>
    <w:rPr>
      <w:rFonts w:ascii="宋体" w:hAnsi="Times New Roman" w:eastAsia="宋体" w:cs="Times New Roman"/>
      <w:color w:val="auto"/>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6" Type="http://schemas.openxmlformats.org/officeDocument/2006/relationships/fontTable" Target="fontTable.xml"/><Relationship Id="rId75" Type="http://schemas.openxmlformats.org/officeDocument/2006/relationships/customXml" Target="../customXml/item2.xml"/><Relationship Id="rId74" Type="http://schemas.openxmlformats.org/officeDocument/2006/relationships/numbering" Target="numbering.xml"/><Relationship Id="rId73" Type="http://schemas.openxmlformats.org/officeDocument/2006/relationships/customXml" Target="../customXml/item1.xml"/><Relationship Id="rId72" Type="http://schemas.openxmlformats.org/officeDocument/2006/relationships/image" Target="media/image27.wmf"/><Relationship Id="rId71" Type="http://schemas.openxmlformats.org/officeDocument/2006/relationships/oleObject" Target="embeddings/oleObject31.bin"/><Relationship Id="rId70" Type="http://schemas.openxmlformats.org/officeDocument/2006/relationships/image" Target="media/image26.wmf"/><Relationship Id="rId7" Type="http://schemas.openxmlformats.org/officeDocument/2006/relationships/footer" Target="footer2.xml"/><Relationship Id="rId69" Type="http://schemas.openxmlformats.org/officeDocument/2006/relationships/oleObject" Target="embeddings/oleObject30.bin"/><Relationship Id="rId68" Type="http://schemas.openxmlformats.org/officeDocument/2006/relationships/image" Target="media/image25.wmf"/><Relationship Id="rId67" Type="http://schemas.openxmlformats.org/officeDocument/2006/relationships/oleObject" Target="embeddings/oleObject29.bin"/><Relationship Id="rId66" Type="http://schemas.openxmlformats.org/officeDocument/2006/relationships/image" Target="media/image24.wmf"/><Relationship Id="rId65" Type="http://schemas.openxmlformats.org/officeDocument/2006/relationships/oleObject" Target="embeddings/oleObject28.bin"/><Relationship Id="rId64" Type="http://schemas.openxmlformats.org/officeDocument/2006/relationships/image" Target="media/image23.wmf"/><Relationship Id="rId63" Type="http://schemas.openxmlformats.org/officeDocument/2006/relationships/oleObject" Target="embeddings/oleObject27.bin"/><Relationship Id="rId62" Type="http://schemas.openxmlformats.org/officeDocument/2006/relationships/image" Target="media/image22.wmf"/><Relationship Id="rId61" Type="http://schemas.openxmlformats.org/officeDocument/2006/relationships/oleObject" Target="embeddings/oleObject26.bin"/><Relationship Id="rId60" Type="http://schemas.openxmlformats.org/officeDocument/2006/relationships/image" Target="media/image21.wmf"/><Relationship Id="rId6" Type="http://schemas.openxmlformats.org/officeDocument/2006/relationships/footer" Target="footer1.xml"/><Relationship Id="rId59" Type="http://schemas.openxmlformats.org/officeDocument/2006/relationships/oleObject" Target="embeddings/oleObject25.bin"/><Relationship Id="rId58" Type="http://schemas.openxmlformats.org/officeDocument/2006/relationships/image" Target="media/image20.wmf"/><Relationship Id="rId57" Type="http://schemas.openxmlformats.org/officeDocument/2006/relationships/oleObject" Target="embeddings/oleObject24.bin"/><Relationship Id="rId56" Type="http://schemas.openxmlformats.org/officeDocument/2006/relationships/image" Target="media/image19.wmf"/><Relationship Id="rId55" Type="http://schemas.openxmlformats.org/officeDocument/2006/relationships/oleObject" Target="embeddings/oleObject23.bin"/><Relationship Id="rId54" Type="http://schemas.openxmlformats.org/officeDocument/2006/relationships/oleObject" Target="embeddings/oleObject22.bin"/><Relationship Id="rId53" Type="http://schemas.openxmlformats.org/officeDocument/2006/relationships/image" Target="media/image18.wmf"/><Relationship Id="rId52" Type="http://schemas.openxmlformats.org/officeDocument/2006/relationships/oleObject" Target="embeddings/oleObject21.bin"/><Relationship Id="rId51" Type="http://schemas.openxmlformats.org/officeDocument/2006/relationships/image" Target="media/image17.wmf"/><Relationship Id="rId50" Type="http://schemas.openxmlformats.org/officeDocument/2006/relationships/oleObject" Target="embeddings/oleObject20.bin"/><Relationship Id="rId5" Type="http://schemas.openxmlformats.org/officeDocument/2006/relationships/header" Target="header1.xml"/><Relationship Id="rId49" Type="http://schemas.openxmlformats.org/officeDocument/2006/relationships/image" Target="media/image16.wmf"/><Relationship Id="rId48" Type="http://schemas.openxmlformats.org/officeDocument/2006/relationships/oleObject" Target="embeddings/oleObject19.bin"/><Relationship Id="rId47" Type="http://schemas.openxmlformats.org/officeDocument/2006/relationships/image" Target="media/image15.wmf"/><Relationship Id="rId46" Type="http://schemas.openxmlformats.org/officeDocument/2006/relationships/oleObject" Target="embeddings/oleObject18.bin"/><Relationship Id="rId45" Type="http://schemas.openxmlformats.org/officeDocument/2006/relationships/oleObject" Target="embeddings/oleObject17.bin"/><Relationship Id="rId44" Type="http://schemas.openxmlformats.org/officeDocument/2006/relationships/oleObject" Target="embeddings/oleObject16.bin"/><Relationship Id="rId43" Type="http://schemas.openxmlformats.org/officeDocument/2006/relationships/image" Target="media/image14.wmf"/><Relationship Id="rId42" Type="http://schemas.openxmlformats.org/officeDocument/2006/relationships/oleObject" Target="embeddings/oleObject15.bin"/><Relationship Id="rId41" Type="http://schemas.openxmlformats.org/officeDocument/2006/relationships/oleObject" Target="embeddings/oleObject14.bin"/><Relationship Id="rId40" Type="http://schemas.openxmlformats.org/officeDocument/2006/relationships/image" Target="media/image13.wmf"/><Relationship Id="rId4" Type="http://schemas.openxmlformats.org/officeDocument/2006/relationships/endnotes" Target="endnotes.xml"/><Relationship Id="rId39" Type="http://schemas.openxmlformats.org/officeDocument/2006/relationships/oleObject" Target="embeddings/oleObject13.bin"/><Relationship Id="rId38" Type="http://schemas.openxmlformats.org/officeDocument/2006/relationships/image" Target="media/image12.wmf"/><Relationship Id="rId37" Type="http://schemas.openxmlformats.org/officeDocument/2006/relationships/oleObject" Target="embeddings/oleObject12.bin"/><Relationship Id="rId36" Type="http://schemas.openxmlformats.org/officeDocument/2006/relationships/image" Target="media/image11.wmf"/><Relationship Id="rId35" Type="http://schemas.openxmlformats.org/officeDocument/2006/relationships/oleObject" Target="embeddings/oleObject11.bin"/><Relationship Id="rId34" Type="http://schemas.openxmlformats.org/officeDocument/2006/relationships/image" Target="media/image10.wmf"/><Relationship Id="rId33" Type="http://schemas.openxmlformats.org/officeDocument/2006/relationships/oleObject" Target="embeddings/oleObject10.bin"/><Relationship Id="rId32" Type="http://schemas.openxmlformats.org/officeDocument/2006/relationships/image" Target="media/image9.wmf"/><Relationship Id="rId31" Type="http://schemas.openxmlformats.org/officeDocument/2006/relationships/oleObject" Target="embeddings/oleObject9.bin"/><Relationship Id="rId30" Type="http://schemas.openxmlformats.org/officeDocument/2006/relationships/image" Target="media/image8.wmf"/><Relationship Id="rId3" Type="http://schemas.openxmlformats.org/officeDocument/2006/relationships/footnotes" Target="footnotes.xml"/><Relationship Id="rId29" Type="http://schemas.openxmlformats.org/officeDocument/2006/relationships/oleObject" Target="embeddings/oleObject8.bin"/><Relationship Id="rId28" Type="http://schemas.openxmlformats.org/officeDocument/2006/relationships/image" Target="media/image7.wmf"/><Relationship Id="rId27" Type="http://schemas.openxmlformats.org/officeDocument/2006/relationships/oleObject" Target="embeddings/oleObject7.bin"/><Relationship Id="rId26" Type="http://schemas.openxmlformats.org/officeDocument/2006/relationships/image" Target="media/image6.wmf"/><Relationship Id="rId25" Type="http://schemas.openxmlformats.org/officeDocument/2006/relationships/oleObject" Target="embeddings/oleObject6.bin"/><Relationship Id="rId24" Type="http://schemas.openxmlformats.org/officeDocument/2006/relationships/image" Target="media/image5.wmf"/><Relationship Id="rId23" Type="http://schemas.openxmlformats.org/officeDocument/2006/relationships/oleObject" Target="embeddings/oleObject5.bin"/><Relationship Id="rId22" Type="http://schemas.openxmlformats.org/officeDocument/2006/relationships/image" Target="media/image4.wmf"/><Relationship Id="rId21" Type="http://schemas.openxmlformats.org/officeDocument/2006/relationships/oleObject" Target="embeddings/oleObject4.bin"/><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2.wmf"/><Relationship Id="rId17" Type="http://schemas.openxmlformats.org/officeDocument/2006/relationships/oleObject" Target="embeddings/oleObject2.bin"/><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D3DCD-9329-4DB8-B7BA-066C0AE5C0F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1119</Words>
  <Characters>6379</Characters>
  <Lines>53</Lines>
  <Paragraphs>14</Paragraphs>
  <TotalTime>1</TotalTime>
  <ScaleCrop>false</ScaleCrop>
  <LinksUpToDate>false</LinksUpToDate>
  <CharactersWithSpaces>7484</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2019-03-14T06:12:00Z</dcterms:created>
  <dc:creator>1</dc:creator>
  <cp:lastModifiedBy>yy0317</cp:lastModifiedBy>
  <cp:lastPrinted>2019-01-03T08:19:00Z</cp:lastPrinted>
  <dcterms:modified xsi:type="dcterms:W3CDTF">2019-03-15T17:38:16Z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